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425"/>
      <w:bookmarkStart w:id="1" w:name="_Toc15378441"/>
      <w:bookmarkStart w:id="2" w:name="_Toc15396597"/>
      <w:bookmarkStart w:id="3" w:name="_Toc15377193"/>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194"/>
      <w:bookmarkStart w:id="7" w:name="_Toc15306268"/>
      <w:bookmarkStart w:id="8" w:name="_Toc15396476"/>
      <w:bookmarkStart w:id="9" w:name="_Toc15377426"/>
      <w:bookmarkStart w:id="10" w:name="_Toc15378442"/>
      <w:bookmarkStart w:id="11" w:name="_Toc15396598"/>
      <w:r>
        <w:rPr>
          <w:rFonts w:hint="eastAsia" w:ascii="方正小标宋简体" w:hAnsi="方正小标宋简体" w:eastAsia="方正小标宋简体" w:cs="方正小标宋简体"/>
          <w:color w:val="auto"/>
          <w:sz w:val="72"/>
          <w:szCs w:val="72"/>
          <w:highlight w:val="none"/>
          <w:lang w:eastAsia="zh-CN"/>
        </w:rPr>
        <w:t>叙永县人民检察院</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73369"/>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22217_WPSOffice_Type2"/>
          <w:r>
            <w:rPr>
              <w:rFonts w:ascii="宋体" w:hAnsi="宋体" w:eastAsia="宋体"/>
              <w:sz w:val="21"/>
            </w:rPr>
            <w:t>目录</w:t>
          </w:r>
        </w:p>
        <w:p>
          <w:pPr>
            <w:pStyle w:val="34"/>
            <w:tabs>
              <w:tab w:val="right" w:leader="dot" w:pos="8306"/>
            </w:tabs>
          </w:pPr>
          <w:r>
            <w:rPr>
              <w:b/>
              <w:bCs/>
            </w:rPr>
            <w:fldChar w:fldCharType="begin"/>
          </w:r>
          <w:r>
            <w:instrText xml:space="preserve"> HYPERLINK \l _Toc12741_WPSOffice_Level1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3369"/>
              <w:placeholder>
                <w:docPart w:val="{9a7c5158-445f-4baa-bc13-01a27302b5c0}"/>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第一部分 单位概况</w:t>
              </w:r>
            </w:sdtContent>
          </w:sdt>
          <w:r>
            <w:rPr>
              <w:b/>
              <w:bCs/>
            </w:rPr>
            <w:tab/>
          </w:r>
          <w:bookmarkStart w:id="13" w:name="_Toc12741_WPSOffice_Level1Page"/>
          <w:r>
            <w:rPr>
              <w:b/>
              <w:bCs/>
            </w:rPr>
            <w:t>3</w:t>
          </w:r>
          <w:bookmarkEnd w:id="13"/>
          <w:r>
            <w:rPr>
              <w:b/>
              <w:bCs/>
            </w:rPr>
            <w:fldChar w:fldCharType="end"/>
          </w:r>
        </w:p>
        <w:p>
          <w:pPr>
            <w:pStyle w:val="35"/>
            <w:tabs>
              <w:tab w:val="right" w:leader="dot" w:pos="8306"/>
            </w:tabs>
          </w:pPr>
          <w:r>
            <w:fldChar w:fldCharType="begin"/>
          </w:r>
          <w:r>
            <w:instrText xml:space="preserve"> HYPERLINK \l _Toc22217_WPSOffice_Level2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e0d20f5a-a57f-4de8-beb1-8d24a66a607e}"/>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一、主要职责</w:t>
              </w:r>
            </w:sdtContent>
          </w:sdt>
          <w:r>
            <w:tab/>
          </w:r>
          <w:bookmarkStart w:id="14" w:name="_Toc22217_WPSOffice_Level2Page"/>
          <w:r>
            <w:t>3</w:t>
          </w:r>
          <w:bookmarkEnd w:id="14"/>
          <w:r>
            <w:fldChar w:fldCharType="end"/>
          </w:r>
        </w:p>
        <w:p>
          <w:pPr>
            <w:pStyle w:val="35"/>
            <w:tabs>
              <w:tab w:val="right" w:leader="dot" w:pos="8306"/>
            </w:tabs>
          </w:pPr>
          <w:r>
            <w:fldChar w:fldCharType="begin"/>
          </w:r>
          <w:r>
            <w:instrText xml:space="preserve"> HYPERLINK \l _Toc17997_WPSOffice_Level2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07740f49-bf4b-490a-8cc7-f0fbf7578f67}"/>
              </w:placeholder>
            </w:sdtPr>
            <w:sdtEndPr>
              <w:rPr>
                <w:rFonts w:ascii="Times New Roman" w:hAnsi="Times New Roman" w:eastAsia="宋体" w:cs="Times New Roman"/>
                <w:kern w:val="2"/>
                <w:sz w:val="21"/>
                <w:szCs w:val="24"/>
                <w:lang w:val="en-US" w:eastAsia="zh-CN" w:bidi="ar-SA"/>
              </w:rPr>
            </w:sdtEndPr>
            <w:sdtContent>
              <w:r>
                <w:rPr>
                  <w:rFonts w:hint="eastAsia" w:ascii="黑体" w:eastAsia="黑体" w:hAnsiTheme="majorHAnsi" w:cstheme="majorBidi"/>
                </w:rPr>
                <w:t>二、</w:t>
              </w:r>
              <w:r>
                <w:rPr>
                  <w:rFonts w:hint="eastAsia" w:ascii="黑体" w:hAnsi="黑体" w:eastAsia="黑体" w:cstheme="majorBidi"/>
                </w:rPr>
                <w:t>机构设置</w:t>
              </w:r>
            </w:sdtContent>
          </w:sdt>
          <w:r>
            <w:tab/>
          </w:r>
          <w:bookmarkStart w:id="15" w:name="_Toc17997_WPSOffice_Level2Page"/>
          <w:r>
            <w:t>3</w:t>
          </w:r>
          <w:bookmarkEnd w:id="15"/>
          <w:r>
            <w:fldChar w:fldCharType="end"/>
          </w:r>
        </w:p>
        <w:p>
          <w:pPr>
            <w:pStyle w:val="34"/>
            <w:tabs>
              <w:tab w:val="right" w:leader="dot" w:pos="8306"/>
            </w:tabs>
          </w:pPr>
          <w:r>
            <w:rPr>
              <w:b/>
              <w:bCs/>
            </w:rPr>
            <w:fldChar w:fldCharType="begin"/>
          </w:r>
          <w:r>
            <w:instrText xml:space="preserve"> HYPERLINK \l _Toc22217_WPSOffice_Level1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3369"/>
              <w:placeholder>
                <w:docPart w:val="{13d3a802-1e9c-46a1-86eb-bab1fff31437}"/>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第二部分 2023年度单位决算情况说明</w:t>
              </w:r>
            </w:sdtContent>
          </w:sdt>
          <w:r>
            <w:rPr>
              <w:b/>
              <w:bCs/>
            </w:rPr>
            <w:tab/>
          </w:r>
          <w:bookmarkStart w:id="16" w:name="_Toc22217_WPSOffice_Level1Page"/>
          <w:r>
            <w:rPr>
              <w:b/>
              <w:bCs/>
            </w:rPr>
            <w:t>5</w:t>
          </w:r>
          <w:bookmarkEnd w:id="16"/>
          <w:r>
            <w:rPr>
              <w:b/>
              <w:bCs/>
            </w:rPr>
            <w:fldChar w:fldCharType="end"/>
          </w:r>
        </w:p>
        <w:p>
          <w:pPr>
            <w:pStyle w:val="35"/>
            <w:tabs>
              <w:tab w:val="right" w:leader="dot" w:pos="8306"/>
            </w:tabs>
          </w:pPr>
          <w:r>
            <w:fldChar w:fldCharType="begin"/>
          </w:r>
          <w:r>
            <w:instrText xml:space="preserve"> HYPERLINK \l _Toc19050_WPSOffice_Level2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25483133-ba85-49fd-91b7-fe03f7444083}"/>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一、 </w:t>
              </w:r>
              <w:r>
                <w:rPr>
                  <w:rFonts w:hint="eastAsia" w:ascii="黑体" w:hAnsi="黑体" w:eastAsia="黑体" w:cs="Times New Roman"/>
                </w:rPr>
                <w:t>收</w:t>
              </w:r>
              <w:r>
                <w:rPr>
                  <w:rFonts w:hint="eastAsia" w:ascii="黑体" w:hAnsi="黑体" w:eastAsia="黑体" w:cstheme="majorBidi"/>
                </w:rPr>
                <w:t>入支出决算总体情况说明</w:t>
              </w:r>
            </w:sdtContent>
          </w:sdt>
          <w:r>
            <w:tab/>
          </w:r>
          <w:bookmarkStart w:id="17" w:name="_Toc19050_WPSOffice_Level2Page"/>
          <w:r>
            <w:t>5</w:t>
          </w:r>
          <w:bookmarkEnd w:id="17"/>
          <w:r>
            <w:fldChar w:fldCharType="end"/>
          </w:r>
        </w:p>
        <w:p>
          <w:pPr>
            <w:pStyle w:val="35"/>
            <w:tabs>
              <w:tab w:val="right" w:leader="dot" w:pos="8306"/>
            </w:tabs>
          </w:pPr>
          <w:r>
            <w:fldChar w:fldCharType="begin"/>
          </w:r>
          <w:r>
            <w:instrText xml:space="preserve"> HYPERLINK \l _Toc14149_WPSOffice_Level2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615bc665-32f7-4d93-95b5-5ac19b3f6fcf}"/>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二、 </w:t>
              </w:r>
              <w:r>
                <w:rPr>
                  <w:rFonts w:hint="eastAsia" w:ascii="黑体" w:hAnsi="黑体" w:eastAsia="黑体" w:cs="Times New Roman"/>
                </w:rPr>
                <w:t>收</w:t>
              </w:r>
              <w:r>
                <w:rPr>
                  <w:rFonts w:hint="eastAsia" w:ascii="黑体" w:hAnsi="黑体" w:eastAsia="黑体" w:cstheme="majorBidi"/>
                </w:rPr>
                <w:t>入决算情况说明</w:t>
              </w:r>
            </w:sdtContent>
          </w:sdt>
          <w:r>
            <w:tab/>
          </w:r>
          <w:bookmarkStart w:id="18" w:name="_Toc14149_WPSOffice_Level2Page"/>
          <w:r>
            <w:t>5</w:t>
          </w:r>
          <w:bookmarkEnd w:id="18"/>
          <w:r>
            <w:fldChar w:fldCharType="end"/>
          </w:r>
        </w:p>
        <w:p>
          <w:pPr>
            <w:pStyle w:val="35"/>
            <w:tabs>
              <w:tab w:val="right" w:leader="dot" w:pos="8306"/>
            </w:tabs>
          </w:pPr>
          <w:r>
            <w:fldChar w:fldCharType="begin"/>
          </w:r>
          <w:r>
            <w:instrText xml:space="preserve"> HYPERLINK \l _Toc29075_WPSOffice_Level2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a1153479-89df-4e10-b1c2-83a70e3fd2d3}"/>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三、 </w:t>
              </w:r>
              <w:r>
                <w:rPr>
                  <w:rFonts w:hint="eastAsia" w:ascii="黑体" w:hAnsi="黑体" w:eastAsia="黑体" w:cs="Times New Roman"/>
                </w:rPr>
                <w:t>支</w:t>
              </w:r>
              <w:r>
                <w:rPr>
                  <w:rFonts w:hint="eastAsia" w:ascii="黑体" w:hAnsi="黑体" w:eastAsia="黑体" w:cstheme="majorBidi"/>
                </w:rPr>
                <w:t>出决算情况说明</w:t>
              </w:r>
            </w:sdtContent>
          </w:sdt>
          <w:r>
            <w:tab/>
          </w:r>
          <w:bookmarkStart w:id="19" w:name="_Toc29075_WPSOffice_Level2Page"/>
          <w:r>
            <w:t>6</w:t>
          </w:r>
          <w:bookmarkEnd w:id="19"/>
          <w:r>
            <w:fldChar w:fldCharType="end"/>
          </w:r>
        </w:p>
        <w:p>
          <w:pPr>
            <w:pStyle w:val="35"/>
            <w:tabs>
              <w:tab w:val="right" w:leader="dot" w:pos="8306"/>
            </w:tabs>
          </w:pPr>
          <w:r>
            <w:fldChar w:fldCharType="begin"/>
          </w:r>
          <w:r>
            <w:instrText xml:space="preserve"> HYPERLINK \l _Toc15036_WPSOffice_Level2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1edb9603-9045-4ad8-93f4-c8111abb3aa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bookmarkStart w:id="20" w:name="_Toc15036_WPSOffice_Level2Page"/>
          <w:r>
            <w:t>7</w:t>
          </w:r>
          <w:bookmarkEnd w:id="20"/>
          <w:r>
            <w:fldChar w:fldCharType="end"/>
          </w:r>
        </w:p>
        <w:p>
          <w:pPr>
            <w:pStyle w:val="35"/>
            <w:tabs>
              <w:tab w:val="right" w:leader="dot" w:pos="8306"/>
            </w:tabs>
          </w:pPr>
          <w:r>
            <w:fldChar w:fldCharType="begin"/>
          </w:r>
          <w:r>
            <w:instrText xml:space="preserve"> HYPERLINK \l _Toc18167_WPSOffice_Level2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7a569c03-8ef4-45a7-9fe2-e1fa1ea92c45}"/>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bookmarkStart w:id="21" w:name="_Toc18167_WPSOffice_Level2Page"/>
          <w:r>
            <w:t>8</w:t>
          </w:r>
          <w:bookmarkEnd w:id="21"/>
          <w:r>
            <w:fldChar w:fldCharType="end"/>
          </w:r>
        </w:p>
        <w:p>
          <w:pPr>
            <w:pStyle w:val="35"/>
            <w:tabs>
              <w:tab w:val="right" w:leader="dot" w:pos="8306"/>
            </w:tabs>
          </w:pPr>
          <w:r>
            <w:fldChar w:fldCharType="begin"/>
          </w:r>
          <w:r>
            <w:instrText xml:space="preserve"> HYPERLINK \l _Toc15186_WPSOffice_Level2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a615db0e-3ae3-4d9b-b416-680e4e0ced16}"/>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bookmarkStart w:id="22" w:name="_Toc15186_WPSOffice_Level2Page"/>
          <w:r>
            <w:t>11</w:t>
          </w:r>
          <w:bookmarkEnd w:id="22"/>
          <w:r>
            <w:fldChar w:fldCharType="end"/>
          </w:r>
        </w:p>
        <w:p>
          <w:pPr>
            <w:pStyle w:val="35"/>
            <w:tabs>
              <w:tab w:val="right" w:leader="dot" w:pos="8306"/>
            </w:tabs>
          </w:pPr>
          <w:r>
            <w:fldChar w:fldCharType="begin"/>
          </w:r>
          <w:r>
            <w:instrText xml:space="preserve"> HYPERLINK \l _Toc25225_WPSOffice_Level2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2909c6a1-4fda-4afb-8a46-1514929edefb}"/>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财政拨款“三公”经费支出决算情况说明</w:t>
              </w:r>
            </w:sdtContent>
          </w:sdt>
          <w:r>
            <w:tab/>
          </w:r>
          <w:bookmarkStart w:id="23" w:name="_Toc25225_WPSOffice_Level2Page"/>
          <w:r>
            <w:t>11</w:t>
          </w:r>
          <w:bookmarkEnd w:id="23"/>
          <w:r>
            <w:fldChar w:fldCharType="end"/>
          </w:r>
        </w:p>
        <w:p>
          <w:pPr>
            <w:pStyle w:val="35"/>
            <w:tabs>
              <w:tab w:val="right" w:leader="dot" w:pos="8306"/>
            </w:tabs>
          </w:pPr>
          <w:r>
            <w:fldChar w:fldCharType="begin"/>
          </w:r>
          <w:r>
            <w:instrText xml:space="preserve"> HYPERLINK \l _Toc12731_WPSOffice_Level2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52d32bbb-bc18-49b4-bf3b-c56634887c16}"/>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bookmarkStart w:id="24" w:name="_Toc12731_WPSOffice_Level2Page"/>
          <w:r>
            <w:t>14</w:t>
          </w:r>
          <w:bookmarkEnd w:id="24"/>
          <w:r>
            <w:fldChar w:fldCharType="end"/>
          </w:r>
        </w:p>
        <w:p>
          <w:pPr>
            <w:pStyle w:val="35"/>
            <w:tabs>
              <w:tab w:val="right" w:leader="dot" w:pos="8306"/>
            </w:tabs>
          </w:pPr>
          <w:r>
            <w:fldChar w:fldCharType="begin"/>
          </w:r>
          <w:r>
            <w:instrText xml:space="preserve"> HYPERLINK \l _Toc16533_WPSOffice_Level2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dda6d7b1-e22a-4f44-bbf0-fc3a886f33ad}"/>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bookmarkStart w:id="25" w:name="_Toc16533_WPSOffice_Level2Page"/>
          <w:r>
            <w:t>14</w:t>
          </w:r>
          <w:bookmarkEnd w:id="25"/>
          <w:r>
            <w:fldChar w:fldCharType="end"/>
          </w:r>
        </w:p>
        <w:p>
          <w:pPr>
            <w:pStyle w:val="35"/>
            <w:tabs>
              <w:tab w:val="right" w:leader="dot" w:pos="8306"/>
            </w:tabs>
          </w:pPr>
          <w:r>
            <w:fldChar w:fldCharType="begin"/>
          </w:r>
          <w:r>
            <w:instrText xml:space="preserve"> HYPERLINK \l _Toc32236_WPSOffice_Level2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dac14e5e-59db-4e63-8d14-db286d0101a3}"/>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bookmarkStart w:id="26" w:name="_Toc32236_WPSOffice_Level2Page"/>
          <w:r>
            <w:t>14</w:t>
          </w:r>
          <w:bookmarkEnd w:id="26"/>
          <w:r>
            <w:fldChar w:fldCharType="end"/>
          </w:r>
        </w:p>
        <w:p>
          <w:pPr>
            <w:pStyle w:val="34"/>
            <w:tabs>
              <w:tab w:val="right" w:leader="dot" w:pos="8306"/>
            </w:tabs>
          </w:pPr>
          <w:r>
            <w:rPr>
              <w:b/>
              <w:bCs/>
            </w:rPr>
            <w:fldChar w:fldCharType="begin"/>
          </w:r>
          <w:r>
            <w:instrText xml:space="preserve"> HYPERLINK \l _Toc17997_WPSOffice_Level1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3369"/>
              <w:placeholder>
                <w:docPart w:val="{78452926-26f5-4c5b-8a4d-e960431ba254}"/>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第三部分 名词解释</w:t>
              </w:r>
            </w:sdtContent>
          </w:sdt>
          <w:r>
            <w:rPr>
              <w:b/>
              <w:bCs/>
            </w:rPr>
            <w:tab/>
          </w:r>
          <w:bookmarkStart w:id="27" w:name="_Toc17997_WPSOffice_Level1Page"/>
          <w:r>
            <w:rPr>
              <w:b/>
              <w:bCs/>
            </w:rPr>
            <w:t>16</w:t>
          </w:r>
          <w:bookmarkEnd w:id="27"/>
          <w:r>
            <w:rPr>
              <w:b/>
              <w:bCs/>
            </w:rPr>
            <w:fldChar w:fldCharType="end"/>
          </w:r>
        </w:p>
        <w:p>
          <w:pPr>
            <w:pStyle w:val="34"/>
            <w:tabs>
              <w:tab w:val="right" w:leader="dot" w:pos="8306"/>
            </w:tabs>
          </w:pPr>
          <w:r>
            <w:rPr>
              <w:b/>
              <w:bCs/>
            </w:rPr>
            <w:fldChar w:fldCharType="begin"/>
          </w:r>
          <w:r>
            <w:instrText xml:space="preserve"> HYPERLINK \l _Toc19050_WPSOffice_Level1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3369"/>
              <w:placeholder>
                <w:docPart w:val="{d015e7a8-e7f5-4970-a673-8264e002b6d5}"/>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28" w:name="_Toc19050_WPSOffice_Level1Page"/>
          <w:r>
            <w:rPr>
              <w:b/>
              <w:bCs/>
            </w:rPr>
            <w:t>19</w:t>
          </w:r>
          <w:bookmarkEnd w:id="28"/>
          <w:r>
            <w:rPr>
              <w:b/>
              <w:bCs/>
            </w:rPr>
            <w:fldChar w:fldCharType="end"/>
          </w:r>
        </w:p>
        <w:p>
          <w:pPr>
            <w:pStyle w:val="34"/>
            <w:tabs>
              <w:tab w:val="right" w:leader="dot" w:pos="8306"/>
            </w:tabs>
          </w:pPr>
          <w:r>
            <w:rPr>
              <w:b/>
              <w:bCs/>
            </w:rPr>
            <w:fldChar w:fldCharType="begin"/>
          </w:r>
          <w:r>
            <w:instrText xml:space="preserve"> HYPERLINK \l _Toc14149_WPSOffice_Level1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3369"/>
              <w:placeholder>
                <w:docPart w:val="{c29b4f25-cee3-47a2-9fa7-fd752cf61b4f}"/>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第五部分 附表</w:t>
              </w:r>
            </w:sdtContent>
          </w:sdt>
          <w:r>
            <w:rPr>
              <w:b/>
              <w:bCs/>
            </w:rPr>
            <w:tab/>
          </w:r>
          <w:bookmarkStart w:id="29" w:name="_Toc14149_WPSOffice_Level1Page"/>
          <w:r>
            <w:rPr>
              <w:b/>
              <w:bCs/>
            </w:rPr>
            <w:t>27</w:t>
          </w:r>
          <w:bookmarkEnd w:id="29"/>
          <w:r>
            <w:rPr>
              <w:b/>
              <w:bCs/>
            </w:rPr>
            <w:fldChar w:fldCharType="end"/>
          </w:r>
        </w:p>
        <w:p>
          <w:pPr>
            <w:pStyle w:val="35"/>
            <w:tabs>
              <w:tab w:val="right" w:leader="dot" w:pos="8306"/>
            </w:tabs>
          </w:pPr>
          <w:r>
            <w:fldChar w:fldCharType="begin"/>
          </w:r>
          <w:r>
            <w:instrText xml:space="preserve"> HYPERLINK \l _Toc10916_WPSOffice_Level2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26cefaf7-26a4-419d-97b5-ad6e3abc7065}"/>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一、收入支出决算总表</w:t>
              </w:r>
            </w:sdtContent>
          </w:sdt>
          <w:r>
            <w:tab/>
          </w:r>
          <w:bookmarkStart w:id="30" w:name="_Toc10916_WPSOffice_Level2Page"/>
          <w:r>
            <w:t>27</w:t>
          </w:r>
          <w:bookmarkEnd w:id="30"/>
          <w:r>
            <w:fldChar w:fldCharType="end"/>
          </w:r>
        </w:p>
        <w:p>
          <w:pPr>
            <w:pStyle w:val="35"/>
            <w:tabs>
              <w:tab w:val="right" w:leader="dot" w:pos="8306"/>
            </w:tabs>
          </w:pPr>
          <w:r>
            <w:fldChar w:fldCharType="begin"/>
          </w:r>
          <w:r>
            <w:instrText xml:space="preserve"> HYPERLINK \l _Toc20208_WPSOffice_Level2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881da6c4-54e3-4eb7-a526-ffffdd299abf}"/>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二、收入决算表</w:t>
              </w:r>
            </w:sdtContent>
          </w:sdt>
          <w:r>
            <w:tab/>
          </w:r>
          <w:bookmarkStart w:id="31" w:name="_Toc20208_WPSOffice_Level2Page"/>
          <w:r>
            <w:t>27</w:t>
          </w:r>
          <w:bookmarkEnd w:id="31"/>
          <w:r>
            <w:fldChar w:fldCharType="end"/>
          </w:r>
        </w:p>
        <w:p>
          <w:pPr>
            <w:pStyle w:val="35"/>
            <w:tabs>
              <w:tab w:val="right" w:leader="dot" w:pos="8306"/>
            </w:tabs>
          </w:pPr>
          <w:r>
            <w:fldChar w:fldCharType="begin"/>
          </w:r>
          <w:r>
            <w:instrText xml:space="preserve"> HYPERLINK \l _Toc6302_WPSOffice_Level2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8d0e6431-b27f-4e9c-be84-e18e27a4c807}"/>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三、支出决算表</w:t>
              </w:r>
            </w:sdtContent>
          </w:sdt>
          <w:r>
            <w:tab/>
          </w:r>
          <w:bookmarkStart w:id="32" w:name="_Toc6302_WPSOffice_Level2Page"/>
          <w:r>
            <w:t>27</w:t>
          </w:r>
          <w:bookmarkEnd w:id="32"/>
          <w:r>
            <w:fldChar w:fldCharType="end"/>
          </w:r>
        </w:p>
        <w:p>
          <w:pPr>
            <w:pStyle w:val="35"/>
            <w:tabs>
              <w:tab w:val="right" w:leader="dot" w:pos="8306"/>
            </w:tabs>
          </w:pPr>
          <w:r>
            <w:fldChar w:fldCharType="begin"/>
          </w:r>
          <w:r>
            <w:instrText xml:space="preserve"> HYPERLINK \l _Toc13839_WPSOffice_Level2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4c4f4b6a-6ab3-4a5c-a210-93cce3d1d82f}"/>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四、财政拨款收入支出决算总表</w:t>
              </w:r>
            </w:sdtContent>
          </w:sdt>
          <w:r>
            <w:tab/>
          </w:r>
          <w:bookmarkStart w:id="33" w:name="_Toc13839_WPSOffice_Level2Page"/>
          <w:r>
            <w:t>27</w:t>
          </w:r>
          <w:bookmarkEnd w:id="33"/>
          <w:r>
            <w:fldChar w:fldCharType="end"/>
          </w:r>
        </w:p>
        <w:p>
          <w:pPr>
            <w:pStyle w:val="35"/>
            <w:tabs>
              <w:tab w:val="right" w:leader="dot" w:pos="8306"/>
            </w:tabs>
          </w:pPr>
          <w:r>
            <w:fldChar w:fldCharType="begin"/>
          </w:r>
          <w:r>
            <w:instrText xml:space="preserve"> HYPERLINK \l _Toc21436_WPSOffice_Level2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d756dd90-2ff3-4ec1-928e-f8b66db4b3d7}"/>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五、财政拨款支出决算明细表</w:t>
              </w:r>
            </w:sdtContent>
          </w:sdt>
          <w:r>
            <w:tab/>
          </w:r>
          <w:bookmarkStart w:id="34" w:name="_Toc21436_WPSOffice_Level2Page"/>
          <w:r>
            <w:t>27</w:t>
          </w:r>
          <w:bookmarkEnd w:id="34"/>
          <w:r>
            <w:fldChar w:fldCharType="end"/>
          </w:r>
        </w:p>
        <w:p>
          <w:pPr>
            <w:pStyle w:val="35"/>
            <w:tabs>
              <w:tab w:val="right" w:leader="dot" w:pos="8306"/>
            </w:tabs>
          </w:pPr>
          <w:r>
            <w:fldChar w:fldCharType="begin"/>
          </w:r>
          <w:r>
            <w:instrText xml:space="preserve"> HYPERLINK \l _Toc10342_WPSOffice_Level2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85150e97-cac6-4f3f-a4d3-c5aefe95f1eb}"/>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六、一般公共预算财政拨款支出决算表</w:t>
              </w:r>
            </w:sdtContent>
          </w:sdt>
          <w:r>
            <w:tab/>
          </w:r>
          <w:bookmarkStart w:id="35" w:name="_Toc10342_WPSOffice_Level2Page"/>
          <w:r>
            <w:t>27</w:t>
          </w:r>
          <w:bookmarkEnd w:id="35"/>
          <w:r>
            <w:fldChar w:fldCharType="end"/>
          </w:r>
        </w:p>
        <w:p>
          <w:pPr>
            <w:pStyle w:val="35"/>
            <w:tabs>
              <w:tab w:val="right" w:leader="dot" w:pos="8306"/>
            </w:tabs>
          </w:pPr>
          <w:r>
            <w:fldChar w:fldCharType="begin"/>
          </w:r>
          <w:r>
            <w:instrText xml:space="preserve"> HYPERLINK \l _Toc12872_WPSOffice_Level2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f167de37-9be7-473b-9091-f053e2d845d7}"/>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七、一般公共预算财政拨款支出决算明细表</w:t>
              </w:r>
            </w:sdtContent>
          </w:sdt>
          <w:r>
            <w:tab/>
          </w:r>
          <w:bookmarkStart w:id="36" w:name="_Toc12872_WPSOffice_Level2Page"/>
          <w:r>
            <w:t>27</w:t>
          </w:r>
          <w:bookmarkEnd w:id="36"/>
          <w:r>
            <w:fldChar w:fldCharType="end"/>
          </w:r>
        </w:p>
        <w:p>
          <w:pPr>
            <w:pStyle w:val="35"/>
            <w:tabs>
              <w:tab w:val="right" w:leader="dot" w:pos="8306"/>
            </w:tabs>
          </w:pPr>
          <w:r>
            <w:fldChar w:fldCharType="begin"/>
          </w:r>
          <w:r>
            <w:instrText xml:space="preserve"> HYPERLINK \l _Toc2606_WPSOffice_Level2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b150b532-4557-4c46-9c65-02adedcdd2b9}"/>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八、一般公共预算财政拨款基本支出决算表</w:t>
              </w:r>
            </w:sdtContent>
          </w:sdt>
          <w:r>
            <w:tab/>
          </w:r>
          <w:bookmarkStart w:id="37" w:name="_Toc2606_WPSOffice_Level2Page"/>
          <w:r>
            <w:t>27</w:t>
          </w:r>
          <w:bookmarkEnd w:id="37"/>
          <w:r>
            <w:fldChar w:fldCharType="end"/>
          </w:r>
        </w:p>
        <w:p>
          <w:pPr>
            <w:pStyle w:val="35"/>
            <w:tabs>
              <w:tab w:val="right" w:leader="dot" w:pos="8306"/>
            </w:tabs>
          </w:pPr>
          <w:r>
            <w:fldChar w:fldCharType="begin"/>
          </w:r>
          <w:r>
            <w:instrText xml:space="preserve"> HYPERLINK \l _Toc14922_WPSOffice_Level2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0541f35b-9a49-4f98-b435-0b713efa3e56}"/>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九、一般公共预算财政拨款项目支出决算表</w:t>
              </w:r>
            </w:sdtContent>
          </w:sdt>
          <w:r>
            <w:tab/>
          </w:r>
          <w:bookmarkStart w:id="38" w:name="_Toc14922_WPSOffice_Level2Page"/>
          <w:r>
            <w:t>27</w:t>
          </w:r>
          <w:bookmarkEnd w:id="38"/>
          <w:r>
            <w:fldChar w:fldCharType="end"/>
          </w:r>
        </w:p>
        <w:p>
          <w:pPr>
            <w:pStyle w:val="35"/>
            <w:tabs>
              <w:tab w:val="right" w:leader="dot" w:pos="8306"/>
            </w:tabs>
          </w:pPr>
          <w:r>
            <w:fldChar w:fldCharType="begin"/>
          </w:r>
          <w:r>
            <w:instrText xml:space="preserve"> HYPERLINK \l _Toc31036_WPSOffice_Level2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94d2a8d4-3cc8-4c66-a269-018f6b1b5c9b}"/>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十、政府性基金预算财政拨款收入支出决算表</w:t>
              </w:r>
            </w:sdtContent>
          </w:sdt>
          <w:r>
            <w:tab/>
          </w:r>
          <w:bookmarkStart w:id="39" w:name="_Toc31036_WPSOffice_Level2Page"/>
          <w:r>
            <w:t>27</w:t>
          </w:r>
          <w:bookmarkEnd w:id="39"/>
          <w:r>
            <w:fldChar w:fldCharType="end"/>
          </w:r>
        </w:p>
        <w:p>
          <w:pPr>
            <w:pStyle w:val="35"/>
            <w:tabs>
              <w:tab w:val="right" w:leader="dot" w:pos="8306"/>
            </w:tabs>
          </w:pPr>
          <w:r>
            <w:fldChar w:fldCharType="begin"/>
          </w:r>
          <w:r>
            <w:instrText xml:space="preserve"> HYPERLINK \l _Toc10885_WPSOffice_Level2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7bf5659b-9c24-4f5b-8f45-f5c9419dccda}"/>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十一、国有资本经营预算财政拨款收入支出决算表</w:t>
              </w:r>
            </w:sdtContent>
          </w:sdt>
          <w:r>
            <w:tab/>
          </w:r>
          <w:bookmarkStart w:id="40" w:name="_Toc10885_WPSOffice_Level2Page"/>
          <w:r>
            <w:t>27</w:t>
          </w:r>
          <w:bookmarkEnd w:id="40"/>
          <w:r>
            <w:fldChar w:fldCharType="end"/>
          </w:r>
        </w:p>
        <w:p>
          <w:pPr>
            <w:pStyle w:val="35"/>
            <w:tabs>
              <w:tab w:val="right" w:leader="dot" w:pos="8306"/>
            </w:tabs>
          </w:pPr>
          <w:r>
            <w:fldChar w:fldCharType="begin"/>
          </w:r>
          <w:r>
            <w:instrText xml:space="preserve"> HYPERLINK \l _Toc30850_WPSOffice_Level2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ccc53b82-1174-4711-8f2d-4ba62876b272}"/>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十二、国有资本经营预算财政拨款支出决算表</w:t>
              </w:r>
            </w:sdtContent>
          </w:sdt>
          <w:r>
            <w:tab/>
          </w:r>
          <w:bookmarkStart w:id="41" w:name="_Toc30850_WPSOffice_Level2Page"/>
          <w:r>
            <w:t>27</w:t>
          </w:r>
          <w:bookmarkEnd w:id="41"/>
          <w:r>
            <w:fldChar w:fldCharType="end"/>
          </w:r>
        </w:p>
        <w:p>
          <w:pPr>
            <w:pStyle w:val="35"/>
            <w:tabs>
              <w:tab w:val="right" w:leader="dot" w:pos="8306"/>
            </w:tabs>
          </w:pPr>
          <w:r>
            <w:fldChar w:fldCharType="begin"/>
          </w:r>
          <w:r>
            <w:instrText xml:space="preserve"> HYPERLINK \l _Toc9330_WPSOffice_Level2 </w:instrText>
          </w:r>
          <w:r>
            <w:fldChar w:fldCharType="separate"/>
          </w:r>
          <w:sdt>
            <w:sdtPr>
              <w:rPr>
                <w:rFonts w:ascii="Times New Roman" w:hAnsi="Times New Roman" w:eastAsia="宋体" w:cs="Times New Roman"/>
                <w:kern w:val="2"/>
                <w:sz w:val="21"/>
                <w:szCs w:val="24"/>
                <w:lang w:val="en-US" w:eastAsia="zh-CN" w:bidi="ar-SA"/>
              </w:rPr>
              <w:id w:val="147473369"/>
              <w:placeholder>
                <w:docPart w:val="{7e88d4de-db40-495d-a841-b15e652e8ec0}"/>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十三、财政拨款“三公”经费支出决算表</w:t>
              </w:r>
            </w:sdtContent>
          </w:sdt>
          <w:r>
            <w:tab/>
          </w:r>
          <w:bookmarkStart w:id="42" w:name="_Toc9330_WPSOffice_Level2Page"/>
          <w:r>
            <w:t>27</w:t>
          </w:r>
          <w:bookmarkEnd w:id="42"/>
          <w:r>
            <w:fldChar w:fldCharType="end"/>
          </w:r>
          <w:bookmarkEnd w:id="12"/>
        </w:p>
      </w:sdtContent>
    </w:sdt>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4"/>
        <w:jc w:val="center"/>
        <w:rPr>
          <w:rStyle w:val="27"/>
          <w:rFonts w:ascii="黑体" w:hAnsi="黑体" w:eastAsia="黑体"/>
          <w:b/>
          <w:bCs w:val="0"/>
          <w:color w:val="auto"/>
          <w:highlight w:val="none"/>
        </w:rPr>
      </w:pPr>
      <w:bookmarkStart w:id="43" w:name="_Toc12741_WPSOffice_Level1"/>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lang w:eastAsia="zh-CN"/>
        </w:rPr>
        <w:t>单位</w:t>
      </w:r>
      <w:r>
        <w:rPr>
          <w:rStyle w:val="27"/>
          <w:rFonts w:hint="eastAsia" w:ascii="黑体" w:hAnsi="黑体" w:eastAsia="黑体"/>
          <w:b w:val="0"/>
          <w:bCs w:val="0"/>
          <w:color w:val="auto"/>
          <w:highlight w:val="none"/>
        </w:rPr>
        <w:t>概况</w:t>
      </w:r>
      <w:bookmarkEnd w:id="43"/>
    </w:p>
    <w:p>
      <w:pPr>
        <w:widowControl/>
        <w:jc w:val="left"/>
        <w:rPr>
          <w:rFonts w:ascii="黑体" w:eastAsia="黑体"/>
          <w:color w:val="auto"/>
          <w:sz w:val="32"/>
          <w:szCs w:val="32"/>
          <w:highlight w:val="none"/>
        </w:rPr>
      </w:pPr>
    </w:p>
    <w:p>
      <w:pPr>
        <w:pStyle w:val="5"/>
        <w:numPr>
          <w:ilvl w:val="0"/>
          <w:numId w:val="0"/>
        </w:numPr>
        <w:ind w:firstLine="640" w:firstLineChars="200"/>
        <w:rPr>
          <w:rFonts w:hint="eastAsia" w:ascii="黑体" w:hAnsi="黑体" w:eastAsia="黑体"/>
          <w:b w:val="0"/>
          <w:color w:val="auto"/>
          <w:highlight w:val="none"/>
          <w:lang w:eastAsia="zh-CN"/>
        </w:rPr>
      </w:pPr>
      <w:bookmarkStart w:id="44" w:name="_Toc22217_WPSOffice_Level2"/>
      <w:r>
        <w:rPr>
          <w:rFonts w:hint="eastAsia" w:ascii="黑体" w:hAnsi="黑体" w:eastAsia="黑体"/>
          <w:b w:val="0"/>
          <w:color w:val="auto"/>
          <w:highlight w:val="none"/>
          <w:lang w:eastAsia="zh-CN"/>
        </w:rPr>
        <w:t>一、主要职责</w:t>
      </w:r>
      <w:bookmarkEnd w:id="44"/>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（1）对叙永县人民代表大会和人民代表大会常务委员会负责并报告工作，接受人民代表大会及其常务委员会的监督。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对叙永县刑事案件依法审查逮捕、提起公诉。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en-US" w:eastAsia="zh-CN" w:bidi="ar-SA"/>
        </w:rPr>
        <w:t>（3）开展对民事案件、</w:t>
      </w:r>
      <w:r>
        <w:rPr>
          <w:rFonts w:hint="eastAsia" w:ascii="仿宋_GB2312" w:hAnsi="Times New Roman" w:eastAsia="仿宋_GB2312" w:cs="Times New Roman"/>
          <w:kern w:val="2"/>
          <w:sz w:val="32"/>
          <w:szCs w:val="32"/>
          <w:lang w:val="zh-CN" w:eastAsia="zh-CN" w:bidi="ar-SA"/>
        </w:rPr>
        <w:t>行政</w:t>
      </w:r>
      <w:r>
        <w:rPr>
          <w:rFonts w:hint="eastAsia" w:ascii="仿宋_GB2312" w:hAnsi="Times New Roman" w:eastAsia="仿宋_GB2312" w:cs="Times New Roman"/>
          <w:kern w:val="2"/>
          <w:sz w:val="32"/>
          <w:szCs w:val="32"/>
          <w:lang w:val="en-US" w:eastAsia="zh-CN" w:bidi="ar-SA"/>
        </w:rPr>
        <w:t>案件</w:t>
      </w:r>
      <w:r>
        <w:rPr>
          <w:rFonts w:hint="eastAsia" w:ascii="仿宋_GB2312" w:hAnsi="Times New Roman" w:eastAsia="仿宋_GB2312" w:cs="Times New Roman"/>
          <w:kern w:val="2"/>
          <w:sz w:val="32"/>
          <w:szCs w:val="32"/>
          <w:lang w:val="zh-CN" w:eastAsia="zh-CN" w:bidi="ar-SA"/>
        </w:rPr>
        <w:t>、刑事诉讼活动的法律监督工作。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t>（4）依法对叙永县执行机关刑罚执行的活动和监管活动是否合法实行监督。</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t>（5）对叙永县人民法院已经发生法律效力、确有错误的判决和裁定，依法提起抗诉。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t>（6）受理叙永县公民控告、申诉和检举。</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t>（7）对叙永县生态环境和资源保护、食品药品安全、国有财产保护、国有土地使用权出让等领域有侵害国家利益或社会公共利益的，依法提起民事或行政公益诉讼。</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eastAsia="仿宋"/>
          <w:lang w:val="zh-CN"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通过对检察职能、法律政策、检察工作的宣传，提高公民法律水平、推动国家法治进程</w:t>
      </w:r>
      <w:r>
        <w:rPr>
          <w:rFonts w:hint="eastAsia" w:ascii="仿宋" w:hAnsi="仿宋" w:eastAsia="仿宋"/>
          <w:sz w:val="32"/>
          <w:szCs w:val="32"/>
          <w:lang w:eastAsia="zh-CN"/>
        </w:rPr>
        <w:t>。</w:t>
      </w:r>
    </w:p>
    <w:p>
      <w:pPr>
        <w:pStyle w:val="5"/>
        <w:ind w:firstLine="640" w:firstLineChars="200"/>
        <w:rPr>
          <w:rStyle w:val="28"/>
          <w:b w:val="0"/>
          <w:bCs w:val="0"/>
          <w:color w:val="auto"/>
          <w:highlight w:val="none"/>
        </w:rPr>
      </w:pPr>
      <w:bookmarkStart w:id="45" w:name="_Toc15377200"/>
      <w:bookmarkStart w:id="46" w:name="_Toc15396601"/>
      <w:bookmarkStart w:id="47" w:name="_Toc17997_WPSOffice_Level2"/>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45"/>
      <w:bookmarkEnd w:id="46"/>
      <w:bookmarkEnd w:id="47"/>
    </w:p>
    <w:p>
      <w:pPr>
        <w:spacing w:line="600" w:lineRule="exact"/>
        <w:ind w:firstLine="640" w:firstLineChars="200"/>
        <w:outlineLvl w:val="1"/>
        <w:rPr>
          <w:rFonts w:ascii="仿宋" w:hAnsi="仿宋" w:eastAsia="仿宋"/>
          <w:color w:val="auto"/>
          <w:kern w:val="0"/>
          <w:sz w:val="32"/>
          <w:szCs w:val="32"/>
          <w:highlight w:val="none"/>
        </w:rPr>
      </w:pPr>
      <w:r>
        <w:rPr>
          <w:rFonts w:hint="eastAsia" w:ascii="仿宋" w:hAnsi="仿宋" w:eastAsia="仿宋"/>
          <w:color w:val="auto"/>
          <w:sz w:val="32"/>
          <w:szCs w:val="32"/>
          <w:highlight w:val="none"/>
          <w:lang w:eastAsia="zh-CN"/>
        </w:rPr>
        <w:t>叙永县检察院</w:t>
      </w:r>
      <w:r>
        <w:rPr>
          <w:rFonts w:hint="eastAsia" w:ascii="仿宋_GB2312" w:hAnsi="Times New Roman" w:eastAsia="仿宋_GB2312" w:cs="Times New Roman"/>
          <w:kern w:val="2"/>
          <w:sz w:val="32"/>
          <w:szCs w:val="32"/>
          <w:lang w:val="zh-CN" w:eastAsia="zh-CN" w:bidi="ar-SA"/>
        </w:rPr>
        <w:t>使用</w:t>
      </w:r>
      <w:r>
        <w:rPr>
          <w:rFonts w:hint="eastAsia" w:ascii="仿宋_GB2312" w:eastAsia="仿宋_GB2312" w:cs="Times New Roman"/>
          <w:kern w:val="2"/>
          <w:sz w:val="32"/>
          <w:szCs w:val="32"/>
          <w:lang w:val="zh-CN" w:eastAsia="zh-CN" w:bidi="ar-SA"/>
        </w:rPr>
        <w:t>行政</w:t>
      </w:r>
      <w:r>
        <w:rPr>
          <w:rFonts w:hint="eastAsia" w:ascii="仿宋_GB2312" w:hAnsi="Times New Roman" w:eastAsia="仿宋_GB2312" w:cs="Times New Roman"/>
          <w:kern w:val="2"/>
          <w:sz w:val="32"/>
          <w:szCs w:val="32"/>
          <w:lang w:val="zh-CN" w:eastAsia="zh-CN" w:bidi="ar-SA"/>
        </w:rPr>
        <w:t>单位会计制度，独立编制机构数1，独立核算机构数1</w:t>
      </w:r>
      <w:r>
        <w:rPr>
          <w:rFonts w:hint="eastAsia" w:ascii="仿宋_GB2312" w:eastAsia="仿宋_GB2312" w:cs="Times New Roman"/>
          <w:kern w:val="2"/>
          <w:sz w:val="32"/>
          <w:szCs w:val="32"/>
          <w:lang w:val="zh-CN" w:eastAsia="zh-CN" w:bidi="ar-SA"/>
        </w:rPr>
        <w:t>，</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个，其中事业单位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w:t>
      </w:r>
      <w:r>
        <w:rPr>
          <w:rFonts w:ascii="仿宋" w:hAnsi="仿宋" w:eastAsia="仿宋"/>
          <w:color w:val="auto"/>
          <w:sz w:val="32"/>
          <w:szCs w:val="32"/>
          <w:highlight w:val="none"/>
        </w:rPr>
        <w:br w:type="page"/>
      </w:r>
    </w:p>
    <w:p>
      <w:pPr>
        <w:pStyle w:val="4"/>
        <w:ind w:right="440"/>
        <w:jc w:val="center"/>
        <w:rPr>
          <w:rStyle w:val="27"/>
          <w:rFonts w:ascii="黑体" w:hAnsi="黑体" w:eastAsia="黑体"/>
          <w:b w:val="0"/>
          <w:bCs/>
          <w:color w:val="auto"/>
          <w:highlight w:val="none"/>
        </w:rPr>
      </w:pPr>
      <w:bookmarkStart w:id="48" w:name="_Toc15377204"/>
      <w:bookmarkStart w:id="49" w:name="_Toc15396602"/>
      <w:bookmarkStart w:id="50" w:name="_Toc22217_WPSOffice_Level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48"/>
      <w:bookmarkEnd w:id="49"/>
      <w:bookmarkEnd w:id="50"/>
    </w:p>
    <w:p>
      <w:pPr>
        <w:rPr>
          <w:color w:val="auto"/>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51" w:name="_Toc15396603"/>
      <w:bookmarkStart w:id="52" w:name="_Toc15377205"/>
      <w:bookmarkStart w:id="53" w:name="_Toc19050_WPSOffice_Level2"/>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51"/>
      <w:bookmarkEnd w:id="52"/>
      <w:bookmarkEnd w:id="53"/>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1953.46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相比，收、支总计各增加</w:t>
      </w:r>
      <w:r>
        <w:rPr>
          <w:rFonts w:hint="eastAsia" w:ascii="仿宋" w:hAnsi="仿宋" w:eastAsia="仿宋"/>
          <w:color w:val="auto"/>
          <w:sz w:val="32"/>
          <w:szCs w:val="32"/>
          <w:highlight w:val="none"/>
          <w:lang w:val="en-US" w:eastAsia="zh-CN"/>
        </w:rPr>
        <w:t>1270.38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2022年度机构改革上划市级，部分决算数据由县级代列报</w:t>
      </w:r>
      <w:r>
        <w:rPr>
          <w:rFonts w:hint="eastAsia" w:ascii="仿宋" w:hAnsi="仿宋" w:eastAsia="仿宋"/>
          <w:color w:val="auto"/>
          <w:sz w:val="32"/>
          <w:szCs w:val="32"/>
          <w:highlight w:val="none"/>
          <w:lang w:eastAsia="zh-CN"/>
        </w:rPr>
        <w:t>。</w:t>
      </w:r>
    </w:p>
    <w:p>
      <w:pPr>
        <w:pStyle w:val="2"/>
        <w:ind w:left="0" w:leftChars="0" w:firstLine="0" w:firstLineChars="0"/>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r>
        <w:rPr>
          <w:rFonts w:hint="eastAsia" w:ascii="仿宋_GB2312" w:eastAsia="仿宋_GB2312"/>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71755</wp:posOffset>
            </wp:positionV>
            <wp:extent cx="5069840" cy="3094355"/>
            <wp:effectExtent l="4445" t="4445" r="12065" b="63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320" w:firstLineChars="100"/>
        <w:rPr>
          <w:rFonts w:hint="eastAsia" w:ascii="仿宋" w:hAnsi="仿宋" w:eastAsia="仿宋"/>
          <w:color w:val="auto"/>
          <w:sz w:val="32"/>
          <w:szCs w:val="32"/>
          <w:highlight w:val="none"/>
        </w:rPr>
      </w:pPr>
    </w:p>
    <w:p>
      <w:pPr>
        <w:spacing w:line="6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ind w:left="0" w:leftChars="0" w:firstLine="0" w:firstLineChars="0"/>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54" w:name="_Toc15377206"/>
      <w:bookmarkStart w:id="55" w:name="_Toc15396604"/>
      <w:bookmarkStart w:id="56" w:name="_Toc14149_WPSOffice_Level2"/>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54"/>
      <w:bookmarkEnd w:id="55"/>
      <w:bookmarkEnd w:id="56"/>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1953.46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1953.46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p>
    <w:p>
      <w:pPr>
        <w:pStyle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125095</wp:posOffset>
            </wp:positionH>
            <wp:positionV relativeFrom="paragraph">
              <wp:posOffset>375920</wp:posOffset>
            </wp:positionV>
            <wp:extent cx="4852670" cy="3552825"/>
            <wp:effectExtent l="4445" t="4445" r="19685" b="508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ind w:left="0" w:leftChars="0" w:firstLine="0" w:firstLineChars="0"/>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57" w:name="_Toc15396605"/>
      <w:bookmarkStart w:id="58" w:name="_Toc15377207"/>
      <w:bookmarkStart w:id="59" w:name="_Toc29075_WPSOffice_Level2"/>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57"/>
      <w:bookmarkEnd w:id="58"/>
      <w:bookmarkEnd w:id="59"/>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1953.46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1004.54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948.92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p>
    <w:p>
      <w:pPr>
        <w:pStyle w:val="2"/>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64384" behindDoc="0" locked="0" layoutInCell="1" allowOverlap="1">
            <wp:simplePos x="0" y="0"/>
            <wp:positionH relativeFrom="column">
              <wp:posOffset>172720</wp:posOffset>
            </wp:positionH>
            <wp:positionV relativeFrom="paragraph">
              <wp:posOffset>42545</wp:posOffset>
            </wp:positionV>
            <wp:extent cx="5080000" cy="3334385"/>
            <wp:effectExtent l="4445" t="4445" r="20955" b="1397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60" w:name="_Toc15377208"/>
      <w:bookmarkStart w:id="61" w:name="_Toc15396606"/>
      <w:bookmarkStart w:id="62" w:name="_Toc15036_WPSOffice_Level2"/>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60"/>
      <w:bookmarkEnd w:id="61"/>
      <w:bookmarkEnd w:id="62"/>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23年度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1953.46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相比，财政拨款收、支总计各增加</w:t>
      </w:r>
      <w:r>
        <w:rPr>
          <w:rFonts w:hint="eastAsia" w:ascii="仿宋" w:hAnsi="仿宋" w:eastAsia="仿宋"/>
          <w:color w:val="auto"/>
          <w:sz w:val="32"/>
          <w:szCs w:val="32"/>
          <w:highlight w:val="none"/>
          <w:lang w:val="en-US" w:eastAsia="zh-CN"/>
        </w:rPr>
        <w:t>1270.38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2022年度机构改革上划市级，部分决算数据由县级代列报</w:t>
      </w:r>
      <w:r>
        <w:rPr>
          <w:rFonts w:hint="eastAsia" w:ascii="仿宋" w:hAnsi="仿宋" w:eastAsia="仿宋"/>
          <w:color w:val="auto"/>
          <w:sz w:val="32"/>
          <w:szCs w:val="32"/>
          <w:highlight w:val="none"/>
          <w:lang w:eastAsia="zh-CN"/>
        </w:rPr>
        <w:t>。</w:t>
      </w:r>
    </w:p>
    <w:p>
      <w:pPr>
        <w:pStyle w:val="2"/>
      </w:pP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304800</wp:posOffset>
            </wp:positionH>
            <wp:positionV relativeFrom="paragraph">
              <wp:posOffset>109220</wp:posOffset>
            </wp:positionV>
            <wp:extent cx="4358640" cy="2517775"/>
            <wp:effectExtent l="4445" t="5080" r="18415" b="1079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 w:hAnsi="仿宋" w:eastAsia="仿宋"/>
          <w:color w:val="auto"/>
          <w:sz w:val="32"/>
          <w:szCs w:val="32"/>
          <w:highlight w:val="none"/>
          <w:lang w:eastAsia="zh-CN"/>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pPr>
    </w:p>
    <w:p>
      <w:pPr>
        <w:spacing w:line="600" w:lineRule="exact"/>
        <w:ind w:firstLine="640" w:firstLineChars="200"/>
        <w:outlineLvl w:val="1"/>
        <w:rPr>
          <w:rStyle w:val="28"/>
          <w:rFonts w:ascii="黑体" w:hAnsi="黑体" w:eastAsia="黑体"/>
          <w:b w:val="0"/>
          <w:color w:val="auto"/>
          <w:highlight w:val="none"/>
        </w:rPr>
      </w:pPr>
      <w:bookmarkStart w:id="63" w:name="_Toc15396607"/>
      <w:bookmarkStart w:id="64" w:name="_Toc15377209"/>
      <w:bookmarkStart w:id="65" w:name="_Toc18167_WPSOffice_Level2"/>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63"/>
      <w:bookmarkEnd w:id="64"/>
      <w:bookmarkEnd w:id="65"/>
    </w:p>
    <w:p>
      <w:pPr>
        <w:spacing w:line="600" w:lineRule="exact"/>
        <w:ind w:firstLine="643" w:firstLineChars="200"/>
        <w:outlineLvl w:val="2"/>
        <w:rPr>
          <w:rFonts w:ascii="仿宋" w:hAnsi="仿宋" w:eastAsia="仿宋"/>
          <w:b/>
          <w:color w:val="auto"/>
          <w:sz w:val="32"/>
          <w:szCs w:val="32"/>
          <w:highlight w:val="none"/>
        </w:rPr>
      </w:pPr>
      <w:bookmarkStart w:id="66" w:name="_Toc15377210"/>
      <w:r>
        <w:rPr>
          <w:rFonts w:hint="eastAsia" w:ascii="仿宋" w:hAnsi="仿宋" w:eastAsia="仿宋"/>
          <w:b/>
          <w:color w:val="auto"/>
          <w:sz w:val="32"/>
          <w:szCs w:val="32"/>
          <w:highlight w:val="none"/>
        </w:rPr>
        <w:t>（一）一般公共预算财政拨款支出决算总体情况</w:t>
      </w:r>
      <w:bookmarkEnd w:id="66"/>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1953.46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1270.38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2022年度机构改革上划市级，部分决算数据由县级代列报</w:t>
      </w:r>
      <w:r>
        <w:rPr>
          <w:rFonts w:hint="eastAsia" w:ascii="仿宋" w:hAnsi="仿宋" w:eastAsia="仿宋"/>
          <w:color w:val="auto"/>
          <w:sz w:val="32"/>
          <w:szCs w:val="32"/>
          <w:highlight w:val="none"/>
          <w:lang w:eastAsia="zh-CN"/>
        </w:rPr>
        <w:t>。</w:t>
      </w:r>
    </w:p>
    <w:p>
      <w:pPr>
        <w:pStyle w:val="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anchor distT="0" distB="0" distL="114300" distR="114300" simplePos="0" relativeHeight="251666432" behindDoc="0" locked="0" layoutInCell="1" allowOverlap="1">
            <wp:simplePos x="0" y="0"/>
            <wp:positionH relativeFrom="column">
              <wp:posOffset>295910</wp:posOffset>
            </wp:positionH>
            <wp:positionV relativeFrom="paragraph">
              <wp:posOffset>153035</wp:posOffset>
            </wp:positionV>
            <wp:extent cx="4596765" cy="2962275"/>
            <wp:effectExtent l="4445" t="4445" r="8890" b="508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67" w:name="_Toc15377211"/>
      <w:r>
        <w:rPr>
          <w:rFonts w:hint="eastAsia" w:ascii="仿宋" w:hAnsi="仿宋" w:eastAsia="仿宋"/>
          <w:b/>
          <w:color w:val="auto"/>
          <w:sz w:val="32"/>
          <w:szCs w:val="32"/>
          <w:highlight w:val="none"/>
        </w:rPr>
        <w:t>（二）一般公共预算财政拨款支出决算结构情况</w:t>
      </w:r>
      <w:bookmarkEnd w:id="67"/>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23年度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1953.46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公共安全支出</w:t>
      </w:r>
      <w:r>
        <w:rPr>
          <w:rFonts w:hint="eastAsia" w:ascii="仿宋" w:hAnsi="仿宋" w:eastAsia="仿宋"/>
          <w:color w:val="auto"/>
          <w:sz w:val="32"/>
          <w:szCs w:val="32"/>
          <w:highlight w:val="none"/>
          <w:lang w:val="en-US" w:eastAsia="zh-CN"/>
        </w:rPr>
        <w:t>1713.42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87.7</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社会保障和就业支出</w:t>
      </w:r>
      <w:r>
        <w:rPr>
          <w:rFonts w:hint="eastAsia" w:ascii="仿宋" w:hAnsi="仿宋" w:eastAsia="仿宋"/>
          <w:color w:val="auto"/>
          <w:sz w:val="32"/>
          <w:szCs w:val="32"/>
          <w:highlight w:val="none"/>
          <w:lang w:val="en-US" w:eastAsia="zh-CN"/>
        </w:rPr>
        <w:t>118.25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卫生健康支出</w:t>
      </w:r>
      <w:r>
        <w:rPr>
          <w:rFonts w:hint="eastAsia" w:ascii="仿宋" w:hAnsi="仿宋" w:eastAsia="仿宋"/>
          <w:color w:val="auto"/>
          <w:sz w:val="32"/>
          <w:szCs w:val="32"/>
          <w:highlight w:val="none"/>
          <w:lang w:val="en-US" w:eastAsia="zh-CN"/>
        </w:rPr>
        <w:t>41.22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住房保障支出</w:t>
      </w:r>
      <w:r>
        <w:rPr>
          <w:rFonts w:hint="eastAsia" w:ascii="仿宋" w:hAnsi="仿宋" w:eastAsia="仿宋"/>
          <w:color w:val="auto"/>
          <w:sz w:val="32"/>
          <w:szCs w:val="32"/>
          <w:highlight w:val="none"/>
          <w:lang w:val="en-US" w:eastAsia="zh-CN"/>
        </w:rPr>
        <w:t>80.56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pStyle w:val="2"/>
        <w:rPr>
          <w:rFonts w:hint="eastAsia"/>
        </w:rPr>
      </w:pPr>
    </w:p>
    <w:p>
      <w:pPr>
        <w:pStyle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anchor distT="0" distB="0" distL="114300" distR="114300" simplePos="0" relativeHeight="251667456" behindDoc="0" locked="0" layoutInCell="1" allowOverlap="1">
            <wp:simplePos x="0" y="0"/>
            <wp:positionH relativeFrom="column">
              <wp:posOffset>125095</wp:posOffset>
            </wp:positionH>
            <wp:positionV relativeFrom="paragraph">
              <wp:posOffset>118745</wp:posOffset>
            </wp:positionV>
            <wp:extent cx="4776470" cy="3477895"/>
            <wp:effectExtent l="4445" t="4445" r="19685" b="2286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68" w:name="_Toc15377212"/>
      <w:r>
        <w:rPr>
          <w:rFonts w:hint="eastAsia" w:ascii="仿宋" w:hAnsi="仿宋" w:eastAsia="仿宋"/>
          <w:b/>
          <w:color w:val="auto"/>
          <w:sz w:val="32"/>
          <w:szCs w:val="32"/>
          <w:highlight w:val="none"/>
        </w:rPr>
        <w:t>（三）一般公共预算财政拨款支出决算具体情况</w:t>
      </w:r>
      <w:bookmarkEnd w:id="68"/>
    </w:p>
    <w:p>
      <w:pPr>
        <w:spacing w:line="600" w:lineRule="exact"/>
        <w:ind w:firstLine="643" w:firstLineChars="200"/>
        <w:outlineLvl w:val="2"/>
        <w:rPr>
          <w:rFonts w:ascii="仿宋" w:hAnsi="仿宋" w:eastAsia="仿宋"/>
          <w:color w:val="auto"/>
          <w:sz w:val="32"/>
          <w:szCs w:val="32"/>
          <w:highlight w:val="none"/>
        </w:rPr>
      </w:pPr>
      <w:bookmarkStart w:id="69" w:name="_Toc15377444"/>
      <w:bookmarkStart w:id="70" w:name="_Toc15377213"/>
      <w:bookmarkStart w:id="71"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23年度</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般公共预算支出决算为</w:t>
      </w:r>
      <w:r>
        <w:rPr>
          <w:rFonts w:hint="eastAsia" w:ascii="仿宋" w:hAnsi="仿宋" w:eastAsia="仿宋"/>
          <w:b/>
          <w:color w:val="auto"/>
          <w:sz w:val="32"/>
          <w:szCs w:val="32"/>
          <w:highlight w:val="none"/>
          <w:lang w:val="en-US" w:eastAsia="zh-CN"/>
        </w:rPr>
        <w:t>1953.46万元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69"/>
      <w:bookmarkEnd w:id="70"/>
      <w:bookmarkEnd w:id="71"/>
    </w:p>
    <w:p>
      <w:pPr>
        <w:spacing w:line="600" w:lineRule="exact"/>
        <w:ind w:firstLine="630" w:firstLineChars="196"/>
        <w:rPr>
          <w:rFonts w:hint="eastAsia" w:ascii="宋体" w:hAnsi="宋体" w:eastAsia="仿宋"/>
          <w:color w:val="000000"/>
          <w:sz w:val="32"/>
          <w:szCs w:val="32"/>
          <w:lang w:eastAsia="zh-CN"/>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公共安全（类）</w:t>
      </w:r>
      <w:r>
        <w:rPr>
          <w:rStyle w:val="15"/>
          <w:rFonts w:hint="eastAsia" w:ascii="仿宋" w:hAnsi="仿宋" w:eastAsia="仿宋"/>
          <w:bCs/>
          <w:color w:val="auto"/>
          <w:sz w:val="32"/>
          <w:szCs w:val="32"/>
          <w:highlight w:val="none"/>
          <w:lang w:eastAsia="zh-CN"/>
        </w:rPr>
        <w:t>检察</w:t>
      </w:r>
      <w:r>
        <w:rPr>
          <w:rStyle w:val="15"/>
          <w:rFonts w:hint="eastAsia" w:ascii="仿宋" w:hAnsi="仿宋" w:eastAsia="仿宋"/>
          <w:bCs/>
          <w:color w:val="auto"/>
          <w:sz w:val="32"/>
          <w:szCs w:val="32"/>
          <w:highlight w:val="none"/>
        </w:rPr>
        <w:t>院（款）行政运行（项）:</w:t>
      </w:r>
      <w:r>
        <w:rPr>
          <w:rFonts w:ascii="宋体" w:hAnsi="宋体"/>
          <w:color w:val="000000"/>
          <w:sz w:val="32"/>
          <w:szCs w:val="32"/>
        </w:rPr>
        <w:t xml:space="preserve"> </w:t>
      </w:r>
      <w:r>
        <w:rPr>
          <w:rStyle w:val="15"/>
          <w:rFonts w:hint="eastAsia" w:ascii="仿宋" w:hAnsi="仿宋" w:eastAsia="仿宋"/>
          <w:b w:val="0"/>
          <w:bCs/>
          <w:color w:val="auto"/>
          <w:sz w:val="32"/>
          <w:szCs w:val="32"/>
          <w:highlight w:val="none"/>
        </w:rPr>
        <w:t>支出决算数为</w:t>
      </w:r>
      <w:r>
        <w:rPr>
          <w:rStyle w:val="15"/>
          <w:rFonts w:hint="eastAsia" w:ascii="仿宋" w:hAnsi="仿宋" w:eastAsia="仿宋"/>
          <w:b w:val="0"/>
          <w:bCs/>
          <w:color w:val="auto"/>
          <w:sz w:val="32"/>
          <w:szCs w:val="32"/>
          <w:highlight w:val="none"/>
          <w:lang w:val="en-US" w:eastAsia="zh-CN"/>
        </w:rPr>
        <w:t>764.51</w:t>
      </w:r>
      <w:r>
        <w:rPr>
          <w:rStyle w:val="15"/>
          <w:rFonts w:hint="eastAsia" w:ascii="仿宋" w:hAnsi="仿宋" w:eastAsia="仿宋"/>
          <w:b w:val="0"/>
          <w:bCs/>
          <w:color w:val="auto"/>
          <w:sz w:val="32"/>
          <w:szCs w:val="32"/>
          <w:highlight w:val="none"/>
        </w:rPr>
        <w:t>万元，完成预算100%</w:t>
      </w:r>
      <w:r>
        <w:rPr>
          <w:rStyle w:val="15"/>
          <w:rFonts w:hint="eastAsia" w:ascii="仿宋" w:hAnsi="仿宋" w:eastAsia="仿宋"/>
          <w:b w:val="0"/>
          <w:bCs/>
          <w:color w:val="auto"/>
          <w:sz w:val="32"/>
          <w:szCs w:val="32"/>
          <w:highlight w:val="none"/>
          <w:lang w:eastAsia="zh-CN"/>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rPr>
        <w:t>公共安全（类）</w:t>
      </w:r>
      <w:r>
        <w:rPr>
          <w:rStyle w:val="15"/>
          <w:rFonts w:hint="eastAsia" w:ascii="仿宋" w:hAnsi="仿宋" w:eastAsia="仿宋"/>
          <w:bCs/>
          <w:color w:val="auto"/>
          <w:sz w:val="32"/>
          <w:szCs w:val="32"/>
          <w:highlight w:val="none"/>
          <w:lang w:eastAsia="zh-CN"/>
        </w:rPr>
        <w:t>检察</w:t>
      </w:r>
      <w:r>
        <w:rPr>
          <w:rStyle w:val="15"/>
          <w:rFonts w:hint="eastAsia" w:ascii="仿宋" w:hAnsi="仿宋" w:eastAsia="仿宋"/>
          <w:bCs/>
          <w:color w:val="auto"/>
          <w:sz w:val="32"/>
          <w:szCs w:val="32"/>
          <w:highlight w:val="none"/>
        </w:rPr>
        <w:t>院（款）一般行政管理事务（项）:</w:t>
      </w:r>
      <w:r>
        <w:rPr>
          <w:rStyle w:val="15"/>
          <w:rFonts w:hint="eastAsia" w:ascii="仿宋" w:hAnsi="仿宋" w:eastAsia="仿宋"/>
          <w:b w:val="0"/>
          <w:bCs/>
          <w:color w:val="auto"/>
          <w:sz w:val="32"/>
          <w:szCs w:val="32"/>
          <w:highlight w:val="none"/>
        </w:rPr>
        <w:t>支出决算数为</w:t>
      </w:r>
      <w:r>
        <w:rPr>
          <w:rStyle w:val="15"/>
          <w:rFonts w:hint="eastAsia" w:ascii="仿宋" w:hAnsi="仿宋" w:eastAsia="仿宋"/>
          <w:b w:val="0"/>
          <w:bCs/>
          <w:color w:val="auto"/>
          <w:sz w:val="32"/>
          <w:szCs w:val="32"/>
          <w:highlight w:val="none"/>
          <w:lang w:val="en-US" w:eastAsia="zh-CN"/>
        </w:rPr>
        <w:t>229.96</w:t>
      </w:r>
      <w:r>
        <w:rPr>
          <w:rStyle w:val="15"/>
          <w:rFonts w:hint="eastAsia" w:ascii="仿宋" w:hAnsi="仿宋" w:eastAsia="仿宋"/>
          <w:b w:val="0"/>
          <w:bCs/>
          <w:color w:val="auto"/>
          <w:sz w:val="32"/>
          <w:szCs w:val="32"/>
          <w:highlight w:val="none"/>
        </w:rPr>
        <w:t>万元，完成预算的</w:t>
      </w:r>
      <w:r>
        <w:rPr>
          <w:rStyle w:val="15"/>
          <w:rFonts w:hint="eastAsia" w:ascii="仿宋" w:hAnsi="仿宋" w:eastAsia="仿宋"/>
          <w:b w:val="0"/>
          <w:bCs/>
          <w:color w:val="auto"/>
          <w:sz w:val="32"/>
          <w:szCs w:val="32"/>
          <w:highlight w:val="none"/>
          <w:lang w:val="en-US" w:eastAsia="zh-CN"/>
        </w:rPr>
        <w:t>100</w:t>
      </w:r>
      <w:r>
        <w:rPr>
          <w:rStyle w:val="15"/>
          <w:rFonts w:hint="eastAsia" w:ascii="仿宋" w:hAnsi="仿宋" w:eastAsia="仿宋"/>
          <w:b w:val="0"/>
          <w:bCs/>
          <w:color w:val="auto"/>
          <w:sz w:val="32"/>
          <w:szCs w:val="32"/>
          <w:highlight w:val="none"/>
        </w:rPr>
        <w:t>%。</w:t>
      </w:r>
    </w:p>
    <w:p>
      <w:pPr>
        <w:pStyle w:val="7"/>
        <w:ind w:firstLine="643" w:firstLineChars="200"/>
      </w:pPr>
      <w:r>
        <w:rPr>
          <w:rStyle w:val="15"/>
          <w:rFonts w:hint="eastAsia" w:ascii="仿宋" w:hAnsi="仿宋" w:eastAsia="仿宋"/>
          <w:bCs/>
          <w:color w:val="auto"/>
          <w:sz w:val="32"/>
          <w:szCs w:val="32"/>
          <w:highlight w:val="none"/>
        </w:rPr>
        <w:t>公共安全（类）</w:t>
      </w:r>
      <w:r>
        <w:rPr>
          <w:rStyle w:val="15"/>
          <w:rFonts w:hint="eastAsia" w:ascii="仿宋" w:hAnsi="仿宋" w:eastAsia="仿宋"/>
          <w:bCs/>
          <w:color w:val="auto"/>
          <w:sz w:val="32"/>
          <w:szCs w:val="32"/>
          <w:highlight w:val="none"/>
          <w:lang w:eastAsia="zh-CN"/>
        </w:rPr>
        <w:t>检察</w:t>
      </w:r>
      <w:r>
        <w:rPr>
          <w:rStyle w:val="15"/>
          <w:rFonts w:hint="eastAsia" w:ascii="仿宋" w:hAnsi="仿宋" w:eastAsia="仿宋"/>
          <w:bCs/>
          <w:color w:val="auto"/>
          <w:sz w:val="32"/>
          <w:szCs w:val="32"/>
          <w:highlight w:val="none"/>
        </w:rPr>
        <w:t>院（款）其他检察支出（项）:</w:t>
      </w:r>
      <w:r>
        <w:rPr>
          <w:rStyle w:val="15"/>
          <w:rFonts w:hint="eastAsia" w:ascii="仿宋" w:hAnsi="仿宋" w:eastAsia="仿宋"/>
          <w:b w:val="0"/>
          <w:bCs/>
          <w:color w:val="auto"/>
          <w:sz w:val="32"/>
          <w:szCs w:val="32"/>
          <w:highlight w:val="none"/>
        </w:rPr>
        <w:t>支出决算数为</w:t>
      </w:r>
      <w:r>
        <w:rPr>
          <w:rStyle w:val="15"/>
          <w:rFonts w:hint="eastAsia" w:ascii="仿宋" w:hAnsi="仿宋" w:eastAsia="仿宋"/>
          <w:b w:val="0"/>
          <w:bCs/>
          <w:color w:val="auto"/>
          <w:sz w:val="32"/>
          <w:szCs w:val="32"/>
          <w:highlight w:val="none"/>
          <w:lang w:val="en-US" w:eastAsia="zh-CN"/>
        </w:rPr>
        <w:t>718.96</w:t>
      </w:r>
      <w:r>
        <w:rPr>
          <w:rStyle w:val="15"/>
          <w:rFonts w:hint="eastAsia" w:ascii="仿宋" w:hAnsi="仿宋" w:eastAsia="仿宋"/>
          <w:b w:val="0"/>
          <w:bCs/>
          <w:color w:val="auto"/>
          <w:sz w:val="32"/>
          <w:szCs w:val="32"/>
          <w:highlight w:val="none"/>
        </w:rPr>
        <w:t>万元，完成预算的</w:t>
      </w:r>
      <w:r>
        <w:rPr>
          <w:rStyle w:val="15"/>
          <w:rFonts w:hint="eastAsia" w:ascii="仿宋" w:hAnsi="仿宋" w:eastAsia="仿宋"/>
          <w:b w:val="0"/>
          <w:bCs/>
          <w:color w:val="auto"/>
          <w:sz w:val="32"/>
          <w:szCs w:val="32"/>
          <w:highlight w:val="none"/>
          <w:lang w:val="en-US" w:eastAsia="zh-CN"/>
        </w:rPr>
        <w:t>100</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cs="Times New Roman"/>
          <w:b w:val="0"/>
          <w:bCs/>
          <w:color w:val="auto"/>
          <w:kern w:val="0"/>
          <w:sz w:val="32"/>
          <w:szCs w:val="32"/>
          <w:highlight w:val="none"/>
          <w:lang w:val="en-US" w:eastAsia="zh-CN" w:bidi="ar-SA"/>
        </w:rPr>
      </w:pPr>
      <w:r>
        <w:rPr>
          <w:rStyle w:val="15"/>
          <w:rFonts w:hint="eastAsia" w:ascii="仿宋" w:hAnsi="仿宋" w:eastAsia="仿宋"/>
          <w:bCs/>
          <w:color w:val="auto"/>
          <w:sz w:val="32"/>
          <w:szCs w:val="32"/>
          <w:highlight w:val="none"/>
        </w:rPr>
        <w:t>2.社会保障和就业（类）行政事业单位养老支出（款）机关事业单位基本养老保险缴费（项）:</w:t>
      </w:r>
      <w:r>
        <w:rPr>
          <w:rFonts w:ascii="宋体" w:hAnsi="宋体"/>
          <w:color w:val="000000"/>
          <w:sz w:val="32"/>
          <w:szCs w:val="32"/>
        </w:rPr>
        <w:t xml:space="preserve"> </w:t>
      </w:r>
      <w:r>
        <w:rPr>
          <w:rStyle w:val="15"/>
          <w:rFonts w:hint="eastAsia" w:ascii="仿宋" w:hAnsi="仿宋" w:eastAsia="仿宋" w:cs="Times New Roman"/>
          <w:b w:val="0"/>
          <w:bCs/>
          <w:color w:val="auto"/>
          <w:kern w:val="0"/>
          <w:sz w:val="32"/>
          <w:szCs w:val="32"/>
          <w:highlight w:val="none"/>
          <w:lang w:val="en-US" w:eastAsia="zh-CN" w:bidi="ar-SA"/>
        </w:rPr>
        <w:t>支出决算数为111.08万元，完成预算100%。</w:t>
      </w:r>
    </w:p>
    <w:p>
      <w:pPr>
        <w:pStyle w:val="7"/>
        <w:spacing w:before="93"/>
        <w:ind w:firstLine="630" w:firstLineChars="196"/>
        <w:rPr>
          <w:rStyle w:val="15"/>
          <w:rFonts w:hint="eastAsia" w:ascii="仿宋" w:hAnsi="仿宋" w:eastAsia="仿宋" w:cs="Times New Roman"/>
          <w:b w:val="0"/>
          <w:bCs/>
          <w:color w:val="auto"/>
          <w:kern w:val="0"/>
          <w:sz w:val="32"/>
          <w:szCs w:val="32"/>
          <w:highlight w:val="none"/>
          <w:lang w:val="en-US" w:eastAsia="zh-CN" w:bidi="ar-SA"/>
        </w:rPr>
      </w:pPr>
      <w:r>
        <w:rPr>
          <w:rStyle w:val="15"/>
          <w:rFonts w:hint="eastAsia" w:ascii="仿宋" w:hAnsi="仿宋" w:eastAsia="仿宋" w:cs="Times New Roman"/>
          <w:bCs/>
          <w:color w:val="auto"/>
          <w:kern w:val="2"/>
          <w:sz w:val="32"/>
          <w:szCs w:val="32"/>
          <w:highlight w:val="none"/>
          <w:lang w:val="en-US" w:eastAsia="zh-CN" w:bidi="ar-SA"/>
        </w:rPr>
        <w:t>社会保障和就业（类）行政事业单位养老支出（款）机关事业单位职业年金缴费支出（项）:</w:t>
      </w:r>
      <w:r>
        <w:rPr>
          <w:rFonts w:ascii="宋体" w:hAnsi="宋体"/>
          <w:color w:val="000000"/>
          <w:sz w:val="32"/>
          <w:szCs w:val="32"/>
        </w:rPr>
        <w:t xml:space="preserve"> </w:t>
      </w:r>
      <w:r>
        <w:rPr>
          <w:rStyle w:val="15"/>
          <w:rFonts w:hint="eastAsia" w:ascii="仿宋" w:hAnsi="仿宋" w:eastAsia="仿宋" w:cs="Times New Roman"/>
          <w:b w:val="0"/>
          <w:bCs/>
          <w:color w:val="auto"/>
          <w:kern w:val="0"/>
          <w:sz w:val="32"/>
          <w:szCs w:val="32"/>
          <w:highlight w:val="none"/>
          <w:lang w:val="en-US" w:eastAsia="zh-CN" w:bidi="ar-SA"/>
        </w:rPr>
        <w:t>支出决算数为7.17万元，完成预算100%。</w:t>
      </w:r>
    </w:p>
    <w:p>
      <w:pPr>
        <w:spacing w:line="600" w:lineRule="exact"/>
        <w:ind w:firstLine="643" w:firstLineChars="200"/>
        <w:rPr>
          <w:rFonts w:ascii="宋体" w:hAnsi="宋体"/>
          <w:color w:val="000000"/>
          <w:sz w:val="32"/>
          <w:szCs w:val="32"/>
        </w:rPr>
      </w:pPr>
      <w:r>
        <w:rPr>
          <w:rStyle w:val="15"/>
          <w:rFonts w:ascii="仿宋" w:hAnsi="仿宋" w:eastAsia="仿宋"/>
          <w:bCs/>
          <w:color w:val="auto"/>
          <w:sz w:val="32"/>
          <w:szCs w:val="32"/>
          <w:highlight w:val="none"/>
        </w:rPr>
        <w:t>3.</w:t>
      </w:r>
      <w:r>
        <w:rPr>
          <w:rStyle w:val="15"/>
          <w:rFonts w:hint="eastAsia" w:ascii="仿宋" w:hAnsi="仿宋" w:eastAsia="仿宋" w:cs="Times New Roman"/>
          <w:bCs/>
          <w:color w:val="auto"/>
          <w:kern w:val="2"/>
          <w:sz w:val="32"/>
          <w:szCs w:val="32"/>
          <w:highlight w:val="none"/>
          <w:lang w:val="en-US" w:eastAsia="zh-CN" w:bidi="ar-SA"/>
        </w:rPr>
        <w:t xml:space="preserve">卫生健康（类）行政事业单位医疗（款）行政单位医疗（项）: </w:t>
      </w:r>
      <w:r>
        <w:rPr>
          <w:rStyle w:val="15"/>
          <w:rFonts w:hint="eastAsia" w:ascii="仿宋" w:hAnsi="仿宋" w:eastAsia="仿宋" w:cs="Times New Roman"/>
          <w:b w:val="0"/>
          <w:bCs/>
          <w:color w:val="auto"/>
          <w:kern w:val="0"/>
          <w:sz w:val="32"/>
          <w:szCs w:val="32"/>
          <w:highlight w:val="none"/>
          <w:lang w:val="en-US" w:eastAsia="zh-CN" w:bidi="ar-SA"/>
        </w:rPr>
        <w:t>支出决算数为34.98万元，完成预算100%。</w:t>
      </w:r>
      <w:r>
        <w:rPr>
          <w:rFonts w:ascii="宋体" w:hAnsi="宋体"/>
          <w:color w:val="000000"/>
          <w:sz w:val="32"/>
          <w:szCs w:val="32"/>
        </w:rPr>
        <w:t xml:space="preserve">   </w:t>
      </w:r>
    </w:p>
    <w:p>
      <w:pPr>
        <w:spacing w:line="600" w:lineRule="exact"/>
        <w:ind w:firstLine="643" w:firstLineChars="200"/>
        <w:rPr>
          <w:rStyle w:val="15"/>
          <w:rFonts w:hint="eastAsia" w:ascii="仿宋" w:hAnsi="仿宋" w:eastAsia="仿宋" w:cs="Times New Roman"/>
          <w:b w:val="0"/>
          <w:bCs/>
          <w:color w:val="auto"/>
          <w:kern w:val="0"/>
          <w:sz w:val="32"/>
          <w:szCs w:val="32"/>
          <w:highlight w:val="none"/>
          <w:lang w:val="en-US" w:eastAsia="zh-CN" w:bidi="ar-SA"/>
        </w:rPr>
      </w:pPr>
      <w:r>
        <w:rPr>
          <w:rStyle w:val="15"/>
          <w:rFonts w:hint="eastAsia" w:ascii="仿宋" w:hAnsi="仿宋" w:eastAsia="仿宋" w:cs="Times New Roman"/>
          <w:bCs/>
          <w:color w:val="auto"/>
          <w:kern w:val="2"/>
          <w:sz w:val="32"/>
          <w:szCs w:val="32"/>
          <w:highlight w:val="none"/>
          <w:lang w:val="en-US" w:eastAsia="zh-CN" w:bidi="ar-SA"/>
        </w:rPr>
        <w:t xml:space="preserve">卫生健康（类）行政事业单位医疗（款）公务员医疗补助（项）: </w:t>
      </w:r>
      <w:r>
        <w:rPr>
          <w:rStyle w:val="15"/>
          <w:rFonts w:hint="eastAsia" w:ascii="仿宋" w:hAnsi="仿宋" w:eastAsia="仿宋" w:cs="Times New Roman"/>
          <w:b w:val="0"/>
          <w:bCs/>
          <w:color w:val="auto"/>
          <w:kern w:val="0"/>
          <w:sz w:val="32"/>
          <w:szCs w:val="32"/>
          <w:highlight w:val="none"/>
          <w:lang w:val="en-US" w:eastAsia="zh-CN" w:bidi="ar-SA"/>
        </w:rPr>
        <w:t>支出决算数为6.24万元，完成预算100%。</w:t>
      </w:r>
    </w:p>
    <w:p>
      <w:pPr>
        <w:spacing w:line="600" w:lineRule="exact"/>
        <w:ind w:firstLine="643" w:firstLineChars="200"/>
        <w:rPr>
          <w:rStyle w:val="15"/>
          <w:rFonts w:hint="eastAsia" w:ascii="仿宋" w:hAnsi="仿宋" w:eastAsia="仿宋" w:cs="Times New Roman"/>
          <w:b w:val="0"/>
          <w:bCs/>
          <w:color w:val="auto"/>
          <w:kern w:val="0"/>
          <w:sz w:val="32"/>
          <w:szCs w:val="32"/>
          <w:highlight w:val="none"/>
          <w:lang w:val="en-US" w:eastAsia="zh-CN" w:bidi="ar-SA"/>
        </w:rPr>
      </w:pPr>
      <w:r>
        <w:rPr>
          <w:rStyle w:val="15"/>
          <w:rFonts w:ascii="仿宋" w:hAnsi="仿宋" w:eastAsia="仿宋"/>
          <w:bCs/>
          <w:color w:val="auto"/>
          <w:sz w:val="32"/>
          <w:szCs w:val="32"/>
          <w:highlight w:val="none"/>
        </w:rPr>
        <w:t>4.</w:t>
      </w:r>
      <w:r>
        <w:rPr>
          <w:rStyle w:val="15"/>
          <w:rFonts w:hint="eastAsia" w:ascii="仿宋" w:hAnsi="仿宋" w:eastAsia="仿宋" w:cs="Times New Roman"/>
          <w:bCs/>
          <w:color w:val="auto"/>
          <w:kern w:val="2"/>
          <w:sz w:val="32"/>
          <w:szCs w:val="32"/>
          <w:highlight w:val="none"/>
          <w:lang w:val="en-US" w:eastAsia="zh-CN" w:bidi="ar-SA"/>
        </w:rPr>
        <w:t>住房保障（类）住房改革支出（款）住房公积金款（项）：</w:t>
      </w:r>
      <w:r>
        <w:rPr>
          <w:rStyle w:val="15"/>
          <w:rFonts w:hint="eastAsia" w:ascii="仿宋" w:hAnsi="仿宋" w:eastAsia="仿宋" w:cs="Times New Roman"/>
          <w:b w:val="0"/>
          <w:bCs/>
          <w:color w:val="auto"/>
          <w:kern w:val="0"/>
          <w:sz w:val="32"/>
          <w:szCs w:val="32"/>
          <w:highlight w:val="none"/>
          <w:lang w:val="en-US" w:eastAsia="zh-CN" w:bidi="ar-SA"/>
        </w:rPr>
        <w:t>支出决算数为80.56万元，完成预算100%。</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8"/>
          <w:color w:val="auto"/>
          <w:highlight w:val="none"/>
        </w:rPr>
      </w:pPr>
      <w:bookmarkStart w:id="72" w:name="_Toc15396608"/>
      <w:bookmarkStart w:id="73" w:name="_Toc15377214"/>
      <w:bookmarkStart w:id="74" w:name="_Toc15186_WPSOffice_Level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72"/>
      <w:bookmarkEnd w:id="73"/>
      <w:bookmarkEnd w:id="74"/>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1004.54</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834.72</w:t>
      </w:r>
      <w:r>
        <w:rPr>
          <w:rFonts w:hint="eastAsia" w:ascii="仿宋" w:hAnsi="仿宋" w:eastAsia="仿宋"/>
          <w:color w:val="auto"/>
          <w:sz w:val="32"/>
          <w:szCs w:val="32"/>
          <w:highlight w:val="none"/>
        </w:rPr>
        <w:t>万元，主要包括：基本工资、津贴补贴、奖金、机关事业单位基本养老保险缴费、职业年金缴费、公务员医疗补助缴费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其他社会保障缴费、其他工资福利支出、住房公积金等。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169.82</w:t>
      </w:r>
      <w:r>
        <w:rPr>
          <w:rFonts w:hint="eastAsia" w:ascii="仿宋" w:hAnsi="仿宋" w:eastAsia="仿宋"/>
          <w:color w:val="auto"/>
          <w:sz w:val="32"/>
          <w:szCs w:val="32"/>
          <w:highlight w:val="none"/>
        </w:rPr>
        <w:t>万元，主要包括：</w:t>
      </w:r>
      <w:r>
        <w:rPr>
          <w:rFonts w:hint="eastAsia" w:ascii="仿宋" w:hAnsi="仿宋" w:eastAsia="仿宋"/>
          <w:color w:val="auto"/>
          <w:sz w:val="32"/>
          <w:szCs w:val="32"/>
          <w:highlight w:val="none"/>
          <w:lang w:eastAsia="zh-CN"/>
        </w:rPr>
        <w:t>水费、电费、</w:t>
      </w:r>
      <w:r>
        <w:rPr>
          <w:rFonts w:hint="eastAsia" w:ascii="仿宋" w:hAnsi="仿宋" w:eastAsia="仿宋"/>
          <w:color w:val="auto"/>
          <w:sz w:val="32"/>
          <w:szCs w:val="32"/>
          <w:highlight w:val="none"/>
        </w:rPr>
        <w:t>物业管理费、维修（护）费</w:t>
      </w:r>
      <w:r>
        <w:rPr>
          <w:rFonts w:hint="eastAsia" w:ascii="仿宋" w:hAnsi="仿宋" w:eastAsia="仿宋"/>
          <w:color w:val="auto"/>
          <w:sz w:val="32"/>
          <w:szCs w:val="32"/>
          <w:highlight w:val="none"/>
          <w:lang w:eastAsia="zh-CN"/>
        </w:rPr>
        <w:t>、公务接待费、</w:t>
      </w:r>
      <w:r>
        <w:rPr>
          <w:rFonts w:hint="eastAsia" w:ascii="仿宋" w:hAnsi="仿宋" w:eastAsia="仿宋"/>
          <w:color w:val="auto"/>
          <w:sz w:val="32"/>
          <w:szCs w:val="32"/>
          <w:highlight w:val="none"/>
        </w:rPr>
        <w:t>劳务费、福利费、</w:t>
      </w:r>
      <w:r>
        <w:rPr>
          <w:rFonts w:hint="eastAsia" w:ascii="仿宋" w:hAnsi="仿宋" w:eastAsia="仿宋"/>
          <w:color w:val="auto"/>
          <w:sz w:val="32"/>
          <w:szCs w:val="32"/>
          <w:highlight w:val="none"/>
          <w:lang w:eastAsia="zh-CN"/>
        </w:rPr>
        <w:t>工会经费、</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eastAsia="zh-CN"/>
        </w:rPr>
        <w:t>、其他商品和服务支出</w:t>
      </w:r>
      <w:r>
        <w:rPr>
          <w:rFonts w:hint="eastAsia" w:ascii="仿宋" w:hAnsi="仿宋" w:eastAsia="仿宋"/>
          <w:color w:val="auto"/>
          <w:sz w:val="32"/>
          <w:szCs w:val="32"/>
          <w:highlight w:val="none"/>
        </w:rPr>
        <w:t>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8"/>
          <w:rFonts w:ascii="黑体" w:hAnsi="黑体" w:eastAsia="黑体"/>
          <w:b w:val="0"/>
          <w:color w:val="auto"/>
          <w:highlight w:val="none"/>
        </w:rPr>
      </w:pPr>
      <w:bookmarkStart w:id="75" w:name="_Toc15377215"/>
      <w:bookmarkStart w:id="76" w:name="_Toc15396609"/>
      <w:bookmarkStart w:id="77" w:name="_Toc25225_WPSOffice_Level2"/>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75"/>
      <w:bookmarkEnd w:id="76"/>
      <w:bookmarkEnd w:id="77"/>
    </w:p>
    <w:p>
      <w:pPr>
        <w:spacing w:line="600" w:lineRule="exact"/>
        <w:ind w:firstLine="640"/>
        <w:outlineLvl w:val="2"/>
        <w:rPr>
          <w:rFonts w:ascii="仿宋" w:hAnsi="仿宋" w:eastAsia="仿宋"/>
          <w:b/>
          <w:color w:val="auto"/>
          <w:sz w:val="32"/>
          <w:szCs w:val="32"/>
          <w:highlight w:val="none"/>
        </w:rPr>
      </w:pPr>
      <w:bookmarkStart w:id="78" w:name="_Toc15377216"/>
      <w:r>
        <w:rPr>
          <w:rFonts w:hint="eastAsia" w:ascii="仿宋" w:hAnsi="仿宋" w:eastAsia="仿宋"/>
          <w:b/>
          <w:color w:val="auto"/>
          <w:sz w:val="32"/>
          <w:szCs w:val="32"/>
          <w:highlight w:val="none"/>
        </w:rPr>
        <w:t>（一）“三公”经费财政拨款支出决算总体情况说明</w:t>
      </w:r>
      <w:bookmarkEnd w:id="7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82.45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增加77.33万元，增长1510.4%。</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79" w:name="_Toc15377217"/>
      <w:r>
        <w:rPr>
          <w:rFonts w:hint="eastAsia" w:ascii="仿宋" w:hAnsi="仿宋" w:eastAsia="仿宋"/>
          <w:b/>
          <w:color w:val="auto"/>
          <w:sz w:val="32"/>
          <w:szCs w:val="32"/>
          <w:highlight w:val="none"/>
        </w:rPr>
        <w:t>（二）“三公”经费财政拨款支出决算具体情况说明</w:t>
      </w:r>
      <w:bookmarkEnd w:id="7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75.4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7.05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7"/>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8480" behindDoc="0" locked="0" layoutInCell="1" allowOverlap="1">
            <wp:simplePos x="0" y="0"/>
            <wp:positionH relativeFrom="column">
              <wp:posOffset>90170</wp:posOffset>
            </wp:positionH>
            <wp:positionV relativeFrom="paragraph">
              <wp:posOffset>156845</wp:posOffset>
            </wp:positionV>
            <wp:extent cx="5080000" cy="3810000"/>
            <wp:effectExtent l="4445" t="4445" r="2095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7"/>
        <w:rPr>
          <w:rFonts w:hint="eastAsia" w:ascii="仿宋" w:hAnsi="仿宋" w:eastAsia="仿宋"/>
          <w:color w:val="auto"/>
          <w:sz w:val="32"/>
          <w:szCs w:val="32"/>
          <w:highlight w:val="none"/>
          <w:lang w:eastAsia="zh-CN"/>
        </w:rPr>
      </w:pPr>
    </w:p>
    <w:p>
      <w:pPr>
        <w:pStyle w:val="7"/>
        <w:rPr>
          <w:rFonts w:hint="eastAsia" w:ascii="仿宋" w:hAnsi="仿宋" w:eastAsia="仿宋"/>
          <w:color w:val="auto"/>
          <w:sz w:val="32"/>
          <w:szCs w:val="32"/>
          <w:highlight w:val="none"/>
        </w:rPr>
      </w:pPr>
    </w:p>
    <w:p>
      <w:pPr>
        <w:pStyle w:val="7"/>
        <w:rPr>
          <w:rFonts w:hint="eastAsia" w:ascii="仿宋" w:hAnsi="仿宋" w:eastAsia="仿宋"/>
          <w:color w:val="auto"/>
          <w:sz w:val="32"/>
          <w:szCs w:val="32"/>
          <w:highlight w:val="none"/>
        </w:rPr>
      </w:pPr>
    </w:p>
    <w:p>
      <w:pPr>
        <w:pStyle w:val="7"/>
        <w:rPr>
          <w:rFonts w:hint="eastAsia" w:ascii="仿宋" w:hAnsi="仿宋" w:eastAsia="仿宋"/>
          <w:color w:val="auto"/>
          <w:sz w:val="32"/>
          <w:szCs w:val="32"/>
          <w:highlight w:val="none"/>
        </w:rPr>
      </w:pPr>
    </w:p>
    <w:p>
      <w:pPr>
        <w:pStyle w:val="7"/>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p>
    <w:p>
      <w:pPr>
        <w:spacing w:line="600" w:lineRule="exact"/>
        <w:ind w:firstLine="640"/>
        <w:rPr>
          <w:rFonts w:hint="eastAsia" w:ascii="仿宋_GB2312" w:eastAsia="仿宋_GB2312"/>
          <w:b/>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2022年度和2023年度均未安排</w:t>
      </w:r>
      <w:r>
        <w:rPr>
          <w:rFonts w:hint="eastAsia" w:ascii="仿宋_GB2312" w:eastAsia="仿宋_GB2312"/>
          <w:color w:val="auto"/>
          <w:sz w:val="32"/>
          <w:szCs w:val="32"/>
          <w:highlight w:val="none"/>
        </w:rPr>
        <w:t>因公出国（境）经费</w:t>
      </w:r>
      <w:r>
        <w:rPr>
          <w:rFonts w:hint="eastAsia" w:ascii="仿宋_GB2312" w:eastAsia="仿宋_GB2312"/>
          <w:color w:val="auto"/>
          <w:sz w:val="32"/>
          <w:szCs w:val="32"/>
          <w:highlight w:val="none"/>
          <w:lang w:eastAsia="zh-CN"/>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75.4</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 w:hAnsi="仿宋" w:eastAsia="仿宋"/>
          <w:color w:val="auto"/>
          <w:sz w:val="32"/>
          <w:szCs w:val="32"/>
          <w:highlight w:val="none"/>
          <w:lang w:val="en-US" w:eastAsia="zh-CN"/>
        </w:rPr>
        <w:t>70.28万元，增长1372.7%</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2022年无</w:t>
      </w:r>
      <w:r>
        <w:rPr>
          <w:rFonts w:hint="eastAsia" w:ascii="仿宋" w:hAnsi="仿宋" w:eastAsia="仿宋"/>
          <w:color w:val="auto"/>
          <w:sz w:val="32"/>
          <w:szCs w:val="32"/>
          <w:highlight w:val="none"/>
          <w:lang w:val="en-US" w:eastAsia="zh-CN"/>
        </w:rPr>
        <w:t>公务用车购置支出，以及2022年度机构改革上划市级，部分决算数据由县级代列报</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43.4</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17.95</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25.45</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万元。主要用于日常工作及办案等所需的公务用车燃料费、维修费、过路过桥费、保险费等支出。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7.05</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度增加</w:t>
      </w:r>
      <w:r>
        <w:rPr>
          <w:rFonts w:hint="eastAsia" w:ascii="仿宋_GB2312" w:eastAsia="仿宋_GB2312"/>
          <w:color w:val="auto"/>
          <w:sz w:val="32"/>
          <w:szCs w:val="32"/>
          <w:highlight w:val="none"/>
          <w:lang w:val="en-US" w:eastAsia="zh-CN"/>
        </w:rPr>
        <w:t>7.05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val="en-US" w:eastAsia="zh-CN"/>
        </w:rPr>
        <w:t>2022年度机构改革上划市级，部分决算数据由县级代列报</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7.05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主要用于执行公务、开展业务活动开支的交通费、住宿费、用餐费等。国内公务接待</w:t>
      </w:r>
      <w:r>
        <w:rPr>
          <w:rFonts w:hint="eastAsia" w:ascii="仿宋_GB2312" w:eastAsia="仿宋_GB2312"/>
          <w:color w:val="auto"/>
          <w:sz w:val="32"/>
          <w:szCs w:val="32"/>
          <w:highlight w:val="none"/>
          <w:lang w:val="en-US" w:eastAsia="zh-CN"/>
        </w:rPr>
        <w:t>83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785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7.05</w:t>
      </w:r>
      <w:r>
        <w:rPr>
          <w:rFonts w:hint="eastAsia" w:ascii="仿宋_GB2312" w:eastAsia="仿宋_GB2312"/>
          <w:color w:val="auto"/>
          <w:sz w:val="32"/>
          <w:szCs w:val="32"/>
          <w:highlight w:val="none"/>
        </w:rPr>
        <w:t>万元，具体内容包括：检查指导工作</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万元，单位之间学习交流4.</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万元，请示汇报工作0.</w:t>
      </w:r>
      <w:r>
        <w:rPr>
          <w:rFonts w:hint="eastAsia" w:ascii="仿宋_GB2312" w:eastAsia="仿宋_GB2312"/>
          <w:color w:val="auto"/>
          <w:sz w:val="32"/>
          <w:szCs w:val="32"/>
          <w:highlight w:val="none"/>
          <w:lang w:val="en-US" w:eastAsia="zh-CN"/>
        </w:rPr>
        <w:t>74</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outlineLvl w:val="1"/>
        <w:rPr>
          <w:rFonts w:ascii="黑体" w:eastAsia="黑体"/>
          <w:color w:val="auto"/>
          <w:sz w:val="32"/>
          <w:szCs w:val="32"/>
          <w:highlight w:val="none"/>
        </w:rPr>
      </w:pPr>
      <w:bookmarkStart w:id="80" w:name="_Toc15396610"/>
      <w:bookmarkStart w:id="81" w:name="_Toc15377218"/>
    </w:p>
    <w:p>
      <w:pPr>
        <w:spacing w:line="600" w:lineRule="exact"/>
        <w:ind w:firstLine="640"/>
        <w:outlineLvl w:val="1"/>
        <w:rPr>
          <w:rStyle w:val="28"/>
          <w:rFonts w:ascii="黑体" w:hAnsi="黑体" w:eastAsia="黑体"/>
          <w:color w:val="auto"/>
          <w:highlight w:val="none"/>
        </w:rPr>
      </w:pPr>
      <w:bookmarkStart w:id="82" w:name="_Toc12731_WPSOffice_Level2"/>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80"/>
      <w:bookmarkEnd w:id="81"/>
      <w:bookmarkEnd w:id="82"/>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23年度</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rPr>
          <w:rFonts w:ascii="仿宋_GB2312" w:eastAsia="仿宋_GB2312"/>
          <w:color w:val="auto"/>
          <w:sz w:val="32"/>
          <w:szCs w:val="32"/>
          <w:highlight w:val="none"/>
        </w:rPr>
      </w:pPr>
    </w:p>
    <w:p>
      <w:pPr>
        <w:numPr>
          <w:ilvl w:val="0"/>
          <w:numId w:val="2"/>
        </w:numPr>
        <w:spacing w:line="600" w:lineRule="exact"/>
        <w:ind w:firstLine="640"/>
        <w:outlineLvl w:val="1"/>
        <w:rPr>
          <w:rStyle w:val="28"/>
          <w:rFonts w:ascii="黑体" w:hAnsi="黑体" w:eastAsia="黑体"/>
          <w:b w:val="0"/>
          <w:color w:val="auto"/>
          <w:highlight w:val="none"/>
        </w:rPr>
      </w:pPr>
      <w:bookmarkStart w:id="83" w:name="_Toc15377219"/>
      <w:bookmarkStart w:id="84" w:name="_Toc15396611"/>
      <w:bookmarkStart w:id="85" w:name="_Toc16533_WPSOffice_Level2"/>
      <w:r>
        <w:rPr>
          <w:rStyle w:val="28"/>
          <w:rFonts w:hint="eastAsia" w:ascii="黑体" w:hAnsi="黑体" w:eastAsia="黑体"/>
          <w:b w:val="0"/>
          <w:color w:val="auto"/>
          <w:highlight w:val="none"/>
        </w:rPr>
        <w:t>国有资本经营预算支出决算情况说明</w:t>
      </w:r>
      <w:bookmarkEnd w:id="83"/>
      <w:bookmarkEnd w:id="84"/>
      <w:bookmarkEnd w:id="8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23年度</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28"/>
          <w:rFonts w:hint="eastAsia" w:ascii="黑体" w:hAnsi="黑体" w:eastAsia="黑体"/>
          <w:b w:val="0"/>
          <w:color w:val="auto"/>
          <w:highlight w:val="none"/>
        </w:rPr>
      </w:pPr>
      <w:bookmarkStart w:id="86" w:name="_Toc15396612"/>
      <w:bookmarkStart w:id="87" w:name="_Toc15377221"/>
      <w:bookmarkStart w:id="88" w:name="_Toc32236_WPSOffice_Level2"/>
      <w:r>
        <w:rPr>
          <w:rStyle w:val="28"/>
          <w:rFonts w:hint="eastAsia" w:ascii="黑体" w:hAnsi="黑体" w:eastAsia="黑体"/>
          <w:b w:val="0"/>
          <w:color w:val="auto"/>
          <w:highlight w:val="none"/>
        </w:rPr>
        <w:t>其他重要事项的情况说明</w:t>
      </w:r>
      <w:bookmarkEnd w:id="86"/>
      <w:bookmarkEnd w:id="87"/>
      <w:bookmarkEnd w:id="88"/>
    </w:p>
    <w:p>
      <w:pPr>
        <w:spacing w:line="600" w:lineRule="exact"/>
        <w:ind w:firstLine="643" w:firstLineChars="200"/>
        <w:outlineLvl w:val="2"/>
        <w:rPr>
          <w:rFonts w:ascii="仿宋" w:hAnsi="仿宋" w:eastAsia="仿宋"/>
          <w:color w:val="auto"/>
          <w:sz w:val="32"/>
          <w:szCs w:val="32"/>
          <w:highlight w:val="none"/>
        </w:rPr>
      </w:pPr>
      <w:bookmarkStart w:id="89" w:name="_Toc15377222"/>
      <w:r>
        <w:rPr>
          <w:rFonts w:hint="eastAsia" w:ascii="仿宋" w:hAnsi="仿宋" w:eastAsia="仿宋"/>
          <w:b/>
          <w:color w:val="auto"/>
          <w:sz w:val="32"/>
          <w:szCs w:val="32"/>
          <w:highlight w:val="none"/>
        </w:rPr>
        <w:t>（一）机关运行经费支出情况</w:t>
      </w:r>
      <w:bookmarkEnd w:id="89"/>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23年度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检察</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169.81万元，</w:t>
      </w:r>
      <w:r>
        <w:rPr>
          <w:rFonts w:hint="eastAsia" w:ascii="仿宋_GB2312" w:eastAsia="仿宋_GB2312"/>
          <w:color w:val="auto"/>
          <w:sz w:val="32"/>
          <w:szCs w:val="32"/>
          <w:highlight w:val="none"/>
        </w:rPr>
        <w:t>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141.43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498.3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val="en-US" w:eastAsia="zh-CN"/>
        </w:rPr>
        <w:t>2022年度机构改革上划市级，部分决算数据由县级代列报</w:t>
      </w:r>
      <w:r>
        <w:rPr>
          <w:rFonts w:hint="eastAsia" w:ascii="仿宋_GB2312" w:eastAsia="仿宋_GB2312"/>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0" w:name="_Toc15377223"/>
      <w:r>
        <w:rPr>
          <w:rFonts w:hint="eastAsia" w:ascii="仿宋" w:hAnsi="仿宋" w:eastAsia="仿宋"/>
          <w:b/>
          <w:color w:val="auto"/>
          <w:sz w:val="32"/>
          <w:szCs w:val="32"/>
          <w:highlight w:val="none"/>
        </w:rPr>
        <w:t>（二）政府采购支出情况</w:t>
      </w:r>
      <w:bookmarkEnd w:id="90"/>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23年度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检察院</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91" w:name="_Toc15377224"/>
      <w:r>
        <w:rPr>
          <w:rFonts w:hint="eastAsia" w:ascii="仿宋" w:hAnsi="仿宋" w:eastAsia="仿宋"/>
          <w:b/>
          <w:color w:val="auto"/>
          <w:sz w:val="32"/>
          <w:szCs w:val="32"/>
          <w:highlight w:val="none"/>
        </w:rPr>
        <w:t>（三）国有资产占有使用情况</w:t>
      </w:r>
      <w:bookmarkEnd w:id="91"/>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检察院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val="en-US" w:eastAsia="zh-CN"/>
        </w:rPr>
        <w:t>主要领导干部用车0辆、机要通信用车0辆、应急保障用车0辆、执法执勤用车7辆，执法执勤用车主要是用于日常工作及办案等工作所需。单价50万元以上通用设备1台（套），单价100万元以上专用设备0台（套）。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根据预算绩效管理要求，本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聘用书记员经费等5个</w:t>
      </w:r>
      <w:r>
        <w:rPr>
          <w:rFonts w:hint="eastAsia" w:ascii="仿宋_GB2312" w:hAnsi="仿宋_GB2312" w:eastAsia="仿宋_GB2312" w:cs="仿宋_GB2312"/>
          <w:color w:val="auto"/>
          <w:sz w:val="32"/>
          <w:szCs w:val="32"/>
          <w:highlight w:val="none"/>
        </w:rPr>
        <w:t>项目开展了预算事前绩效评估，对</w:t>
      </w:r>
      <w:r>
        <w:rPr>
          <w:rFonts w:hint="eastAsia" w:ascii="仿宋_GB2312" w:hAnsi="仿宋_GB2312" w:eastAsia="仿宋_GB2312" w:cs="仿宋_GB2312"/>
          <w:color w:val="auto"/>
          <w:sz w:val="32"/>
          <w:szCs w:val="32"/>
          <w:highlight w:val="none"/>
          <w:lang w:val="en-US" w:eastAsia="zh-CN"/>
        </w:rPr>
        <w:t>6个</w:t>
      </w:r>
      <w:r>
        <w:rPr>
          <w:rFonts w:hint="eastAsia" w:ascii="仿宋_GB2312" w:hAnsi="仿宋_GB2312" w:eastAsia="仿宋_GB2312" w:cs="仿宋_GB2312"/>
          <w:color w:val="auto"/>
          <w:sz w:val="32"/>
          <w:szCs w:val="32"/>
          <w:highlight w:val="none"/>
        </w:rPr>
        <w:t>项目项目编制了绩效目标，预算执行过程中，选取</w:t>
      </w:r>
      <w:r>
        <w:rPr>
          <w:rFonts w:hint="eastAsia" w:ascii="仿宋_GB2312" w:hAnsi="仿宋_GB2312" w:eastAsia="仿宋_GB2312" w:cs="仿宋_GB2312"/>
          <w:color w:val="auto"/>
          <w:sz w:val="32"/>
          <w:szCs w:val="32"/>
          <w:highlight w:val="none"/>
          <w:lang w:val="en-US" w:eastAsia="zh-CN"/>
        </w:rPr>
        <w:t>6个</w:t>
      </w:r>
      <w:r>
        <w:rPr>
          <w:rFonts w:hint="eastAsia" w:ascii="仿宋_GB2312" w:hAnsi="仿宋_GB2312" w:eastAsia="仿宋_GB2312" w:cs="仿宋_GB2312"/>
          <w:color w:val="auto"/>
          <w:sz w:val="32"/>
          <w:szCs w:val="32"/>
          <w:highlight w:val="none"/>
        </w:rPr>
        <w:t>项目开展绩效监控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组织对</w:t>
      </w:r>
      <w:r>
        <w:rPr>
          <w:rFonts w:hint="eastAsia" w:ascii="仿宋_GB2312" w:hAnsi="仿宋_GB2312" w:eastAsia="仿宋_GB2312" w:cs="仿宋_GB2312"/>
          <w:color w:val="auto"/>
          <w:sz w:val="32"/>
          <w:szCs w:val="32"/>
          <w:highlight w:val="none"/>
          <w:lang w:val="en-US" w:eastAsia="zh-CN"/>
        </w:rPr>
        <w:t>6个</w:t>
      </w:r>
      <w:r>
        <w:rPr>
          <w:rFonts w:hint="eastAsia" w:ascii="仿宋_GB2312" w:hAnsi="仿宋_GB2312" w:eastAsia="仿宋_GB2312" w:cs="仿宋_GB2312"/>
          <w:color w:val="auto"/>
          <w:sz w:val="32"/>
          <w:szCs w:val="32"/>
          <w:highlight w:val="none"/>
        </w:rPr>
        <w:t>项目开展绩效自评，绩效自评表详见</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2"/>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br w:type="page"/>
      </w:r>
      <w:bookmarkStart w:id="126" w:name="_GoBack"/>
      <w:bookmarkEnd w:id="126"/>
    </w:p>
    <w:p>
      <w:pPr>
        <w:numPr>
          <w:ilvl w:val="0"/>
          <w:numId w:val="3"/>
        </w:numPr>
        <w:spacing w:line="600" w:lineRule="exact"/>
        <w:ind w:firstLine="660" w:firstLineChars="150"/>
        <w:jc w:val="center"/>
        <w:outlineLvl w:val="0"/>
        <w:rPr>
          <w:rStyle w:val="27"/>
          <w:rFonts w:ascii="黑体" w:hAnsi="黑体" w:eastAsia="黑体"/>
          <w:b w:val="0"/>
          <w:color w:val="auto"/>
          <w:highlight w:val="none"/>
        </w:rPr>
      </w:pPr>
      <w:bookmarkStart w:id="92" w:name="_Toc15396613"/>
      <w:bookmarkStart w:id="93" w:name="_Toc15377225"/>
      <w:bookmarkStart w:id="94" w:name="_Toc17997_WPSOffice_Level1"/>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92"/>
      <w:bookmarkEnd w:id="93"/>
      <w:bookmarkEnd w:id="94"/>
    </w:p>
    <w:p>
      <w:pPr>
        <w:spacing w:line="600" w:lineRule="exact"/>
        <w:jc w:val="left"/>
        <w:rPr>
          <w:rFonts w:ascii="宋体"/>
          <w:b/>
          <w:color w:val="auto"/>
          <w:sz w:val="44"/>
          <w:szCs w:val="44"/>
          <w:highlight w:val="none"/>
        </w:rPr>
      </w:pP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1.财政拨款收入：指单位从同级财政部门取得的财政预算资金。</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2.年初结转和结余：指以前年度尚未完成、结转到本年按有关规定继续使用的资金。 </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3、年末结转和结余：指单位按有关规定结转到下年或以后年度继续使用的资金。</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、公共安全（类）</w:t>
      </w:r>
      <w:r>
        <w:rPr>
          <w:rFonts w:hint="eastAsia" w:ascii="仿宋_GB2312" w:eastAsia="仿宋_GB2312"/>
          <w:color w:val="auto"/>
          <w:sz w:val="32"/>
          <w:szCs w:val="32"/>
          <w:highlight w:val="none"/>
          <w:lang w:eastAsia="zh-CN"/>
        </w:rPr>
        <w:t>检察院</w:t>
      </w:r>
      <w:r>
        <w:rPr>
          <w:rFonts w:hint="eastAsia" w:ascii="仿宋_GB2312" w:eastAsia="仿宋_GB2312"/>
          <w:color w:val="auto"/>
          <w:sz w:val="32"/>
          <w:szCs w:val="32"/>
          <w:highlight w:val="none"/>
        </w:rPr>
        <w:t>（款）行政运行（项）: 指行政单位（包括实行公务员管理的事业单位）的基本支出。</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、公共安全（类）</w:t>
      </w:r>
      <w:r>
        <w:rPr>
          <w:rFonts w:hint="eastAsia" w:ascii="仿宋_GB2312" w:eastAsia="仿宋_GB2312"/>
          <w:color w:val="auto"/>
          <w:sz w:val="32"/>
          <w:szCs w:val="32"/>
          <w:highlight w:val="none"/>
          <w:lang w:eastAsia="zh-CN"/>
        </w:rPr>
        <w:t>检察院</w:t>
      </w:r>
      <w:r>
        <w:rPr>
          <w:rFonts w:hint="eastAsia" w:ascii="仿宋_GB2312" w:eastAsia="仿宋_GB2312"/>
          <w:color w:val="auto"/>
          <w:sz w:val="32"/>
          <w:szCs w:val="32"/>
          <w:highlight w:val="none"/>
        </w:rPr>
        <w:t xml:space="preserve">（款）一般行政管理事务（项）: 指行政单位（包括实行公务员管理的事业单位）未单独设置项级科目的其他项目支出。 </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公共安全（类）</w:t>
      </w:r>
      <w:r>
        <w:rPr>
          <w:rFonts w:hint="eastAsia" w:ascii="仿宋_GB2312" w:eastAsia="仿宋_GB2312"/>
          <w:color w:val="auto"/>
          <w:sz w:val="32"/>
          <w:szCs w:val="32"/>
          <w:highlight w:val="none"/>
          <w:lang w:eastAsia="zh-CN"/>
        </w:rPr>
        <w:t>检察院</w:t>
      </w:r>
      <w:r>
        <w:rPr>
          <w:rFonts w:hint="eastAsia" w:ascii="仿宋_GB2312" w:eastAsia="仿宋_GB2312"/>
          <w:color w:val="auto"/>
          <w:sz w:val="32"/>
          <w:szCs w:val="32"/>
          <w:highlight w:val="none"/>
        </w:rPr>
        <w:t>（款）其他检察支出（项）：指其他用于检察方面的支出。</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、社会保障和就业（类）行政事业单位养老（款）机关事业单位基本养老保险缴费（项）:指机关事业单位实施养老保险制度由单位缴纳的基本养老保险费支出。</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、社会保障和就业（类）行政事业单位养老（款）机关事业单位职业年金缴费（项）: 指机关事业单位实施养老保险制度由单位实际缴纳的职业年金支出。</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、医疗卫生与计划生育（类）行政事业单位医疗（款）行政单位医疗（项）: 指财政部门集中安排的行政单位基本医疗保险缴费经费，未参加医疗保险的行政单位的公费医疗经费，按国家规定享受离休人员、红军老战士待遇人员的医疗经费。</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、医疗卫生与计划生育（类）行政事业单位医疗（款）公务员医疗补助（项）: 指财政部门集中安排的公务员医疗补助经费。</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、住房保障（类）住房改革支出（款）住房公积金：指用于行政事业单位按人力资源和社会保障部、财政局规定的基本工资和津贴补贴以及规定比例为职工缴纳的住房公积金。</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xml:space="preserve">.项目支出：指在基本支出之外为完成特定行政任务和事业发展目标所发生的支出。 </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hint="eastAsia" w:ascii="黑体" w:hAnsi="黑体" w:eastAsia="黑体"/>
          <w:b w:val="0"/>
          <w:color w:val="auto"/>
          <w:highlight w:val="none"/>
          <w:lang w:eastAsia="zh-CN"/>
        </w:rPr>
      </w:pPr>
      <w:bookmarkStart w:id="95" w:name="_Toc15377226"/>
      <w:r>
        <w:rPr>
          <w:rFonts w:ascii="宋体"/>
          <w:b/>
          <w:color w:val="auto"/>
          <w:sz w:val="44"/>
          <w:szCs w:val="44"/>
          <w:highlight w:val="none"/>
        </w:rPr>
        <w:br w:type="page"/>
      </w:r>
      <w:bookmarkStart w:id="96" w:name="_Toc15396614"/>
      <w:bookmarkStart w:id="97" w:name="_Toc19050_WPSOffice_Level1"/>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96"/>
      <w:bookmarkEnd w:id="97"/>
    </w:p>
    <w:p>
      <w:pPr>
        <w:pStyle w:val="2"/>
        <w:rPr>
          <w:rFonts w:hint="eastAsia"/>
          <w:lang w:val="zh-CN"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w:t>
      </w:r>
      <w:r>
        <w:rPr>
          <w:rFonts w:hint="eastAsia"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年度）</w:t>
      </w:r>
    </w:p>
    <w:tbl>
      <w:tblPr>
        <w:tblStyle w:val="1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2"/>
        <w:gridCol w:w="1031"/>
        <w:gridCol w:w="925"/>
        <w:gridCol w:w="1155"/>
        <w:gridCol w:w="350"/>
        <w:gridCol w:w="863"/>
        <w:gridCol w:w="799"/>
        <w:gridCol w:w="752"/>
        <w:gridCol w:w="302"/>
        <w:gridCol w:w="302"/>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51050022T000007152174-中央政法及纪检监察转移支付资金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叙永县检察院部门</w:t>
            </w:r>
          </w:p>
        </w:tc>
        <w:tc>
          <w:tcPr>
            <w:tcW w:w="752"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涉密，不予公开</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涉密，不予公开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项目负责人：周迪</w:t>
            </w:r>
          </w:p>
        </w:tc>
        <w:tc>
          <w:tcPr>
            <w:tcW w:w="4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财务负责人：黄勇东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shd w:val="clear" w:color="auto" w:fill="auto"/>
            <w:vAlign w:val="center"/>
          </w:tcPr>
          <w:p>
            <w:pPr>
              <w:rPr>
                <w:rFonts w:hint="eastAsia" w:ascii="宋体" w:hAnsi="宋体" w:eastAsia="宋体" w:cs="宋体"/>
                <w:i w:val="0"/>
                <w:color w:val="000000"/>
                <w:sz w:val="18"/>
                <w:szCs w:val="18"/>
                <w:u w:val="none"/>
              </w:rPr>
            </w:pPr>
          </w:p>
        </w:tc>
        <w:tc>
          <w:tcPr>
            <w:tcW w:w="1031" w:type="dxa"/>
            <w:shd w:val="clear" w:color="auto" w:fill="auto"/>
            <w:vAlign w:val="center"/>
          </w:tcPr>
          <w:p>
            <w:pPr>
              <w:rPr>
                <w:rFonts w:hint="eastAsia" w:ascii="宋体" w:hAnsi="宋体" w:eastAsia="宋体" w:cs="宋体"/>
                <w:i w:val="0"/>
                <w:color w:val="000000"/>
                <w:sz w:val="18"/>
                <w:szCs w:val="18"/>
                <w:u w:val="none"/>
              </w:rPr>
            </w:pPr>
          </w:p>
        </w:tc>
        <w:tc>
          <w:tcPr>
            <w:tcW w:w="925" w:type="dxa"/>
            <w:shd w:val="clear" w:color="auto" w:fill="auto"/>
            <w:vAlign w:val="center"/>
          </w:tcPr>
          <w:p>
            <w:pPr>
              <w:rPr>
                <w:rFonts w:hint="eastAsia" w:ascii="宋体" w:hAnsi="宋体" w:eastAsia="宋体" w:cs="宋体"/>
                <w:i w:val="0"/>
                <w:color w:val="000000"/>
                <w:sz w:val="18"/>
                <w:szCs w:val="18"/>
                <w:u w:val="none"/>
              </w:rPr>
            </w:pPr>
          </w:p>
        </w:tc>
        <w:tc>
          <w:tcPr>
            <w:tcW w:w="1155" w:type="dxa"/>
            <w:shd w:val="clear" w:color="auto" w:fill="auto"/>
            <w:vAlign w:val="center"/>
          </w:tcPr>
          <w:p>
            <w:pPr>
              <w:rPr>
                <w:rFonts w:hint="eastAsia" w:ascii="宋体" w:hAnsi="宋体" w:eastAsia="宋体" w:cs="宋体"/>
                <w:i w:val="0"/>
                <w:color w:val="000000"/>
                <w:sz w:val="18"/>
                <w:szCs w:val="18"/>
                <w:u w:val="none"/>
              </w:rPr>
            </w:pPr>
          </w:p>
        </w:tc>
        <w:tc>
          <w:tcPr>
            <w:tcW w:w="350" w:type="dxa"/>
            <w:shd w:val="clear" w:color="auto" w:fill="auto"/>
            <w:vAlign w:val="center"/>
          </w:tcPr>
          <w:p>
            <w:pPr>
              <w:rPr>
                <w:rFonts w:hint="eastAsia" w:ascii="宋体" w:hAnsi="宋体" w:eastAsia="宋体" w:cs="宋体"/>
                <w:i w:val="0"/>
                <w:color w:val="000000"/>
                <w:sz w:val="18"/>
                <w:szCs w:val="18"/>
                <w:u w:val="none"/>
              </w:rPr>
            </w:pPr>
          </w:p>
        </w:tc>
        <w:tc>
          <w:tcPr>
            <w:tcW w:w="863" w:type="dxa"/>
            <w:shd w:val="clear" w:color="auto" w:fill="auto"/>
            <w:vAlign w:val="center"/>
          </w:tcPr>
          <w:p>
            <w:pPr>
              <w:rPr>
                <w:rFonts w:hint="eastAsia" w:ascii="宋体" w:hAnsi="宋体" w:eastAsia="宋体" w:cs="宋体"/>
                <w:i w:val="0"/>
                <w:color w:val="000000"/>
                <w:sz w:val="18"/>
                <w:szCs w:val="18"/>
                <w:u w:val="none"/>
              </w:rPr>
            </w:pPr>
          </w:p>
        </w:tc>
        <w:tc>
          <w:tcPr>
            <w:tcW w:w="799" w:type="dxa"/>
            <w:shd w:val="clear" w:color="auto" w:fill="auto"/>
            <w:vAlign w:val="center"/>
          </w:tcPr>
          <w:p>
            <w:pPr>
              <w:rPr>
                <w:rFonts w:hint="eastAsia" w:ascii="宋体" w:hAnsi="宋体" w:eastAsia="宋体" w:cs="宋体"/>
                <w:i w:val="0"/>
                <w:color w:val="000000"/>
                <w:sz w:val="18"/>
                <w:szCs w:val="18"/>
                <w:u w:val="none"/>
              </w:rPr>
            </w:pPr>
          </w:p>
        </w:tc>
        <w:tc>
          <w:tcPr>
            <w:tcW w:w="75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1465" w:type="dxa"/>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51050022T000007266021-公用经费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叙永县检察院部门</w:t>
            </w:r>
          </w:p>
        </w:tc>
        <w:tc>
          <w:tcPr>
            <w:tcW w:w="752"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完成上级院下达的检察工作目标及服务地方中心工作。确保各项检察业务顺利开展。保障单位日常运转，提高预算编制质量，严格执行预算。</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完成了上级院下达的检察工作目标及服务地方中心工作。确保各项检察业务顺利开展。保障单位日常运转，提高预算编制质量，严格执行预算。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项目着力保障一年内52名人员的运转经费，运转保障率达到100%，运行经费覆盖率达到100%，运行经费成本控制在111万元以内。保障单位日常运转，提升办案效率，确保各项检察业务顺利开展。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完成2023年相关立案监督、侦查监督、审判监督以及相关案件的补充侦查</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件</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240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保障检察工作开展</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完成</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加强法制宣传，提高地方经济发展率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物业管理费</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其他基本运转支出</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本项目的绩效目标均已完成，最终得分100分，绩效评价优秀。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部分指标不够细化，今后将根据本院实际情况，深入分析，选择适合本院的细化绩效指标。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叙永县人民检察院将注意规范指标名称、科学定义指标内容，结合项目实际，加强对相关人员绩效管理知识及技能培训，合理科学制定绩效目标、提高预算编制准确性；注重绩效目标同预算同步调整。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项目负责人：周迪</w:t>
            </w:r>
          </w:p>
        </w:tc>
        <w:tc>
          <w:tcPr>
            <w:tcW w:w="4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财务负责人：黄勇东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shd w:val="clear" w:color="auto" w:fill="auto"/>
            <w:vAlign w:val="center"/>
          </w:tcPr>
          <w:p>
            <w:pPr>
              <w:rPr>
                <w:rFonts w:hint="eastAsia" w:ascii="宋体" w:hAnsi="宋体" w:eastAsia="宋体" w:cs="宋体"/>
                <w:i w:val="0"/>
                <w:color w:val="000000"/>
                <w:sz w:val="18"/>
                <w:szCs w:val="18"/>
                <w:u w:val="none"/>
              </w:rPr>
            </w:pPr>
          </w:p>
        </w:tc>
        <w:tc>
          <w:tcPr>
            <w:tcW w:w="1031" w:type="dxa"/>
            <w:shd w:val="clear" w:color="auto" w:fill="auto"/>
            <w:vAlign w:val="center"/>
          </w:tcPr>
          <w:p>
            <w:pPr>
              <w:rPr>
                <w:rFonts w:hint="eastAsia" w:ascii="宋体" w:hAnsi="宋体" w:eastAsia="宋体" w:cs="宋体"/>
                <w:i w:val="0"/>
                <w:color w:val="000000"/>
                <w:sz w:val="18"/>
                <w:szCs w:val="18"/>
                <w:u w:val="none"/>
              </w:rPr>
            </w:pPr>
          </w:p>
        </w:tc>
        <w:tc>
          <w:tcPr>
            <w:tcW w:w="925" w:type="dxa"/>
            <w:shd w:val="clear" w:color="auto" w:fill="auto"/>
            <w:vAlign w:val="center"/>
          </w:tcPr>
          <w:p>
            <w:pPr>
              <w:rPr>
                <w:rFonts w:hint="eastAsia" w:ascii="宋体" w:hAnsi="宋体" w:eastAsia="宋体" w:cs="宋体"/>
                <w:i w:val="0"/>
                <w:color w:val="000000"/>
                <w:sz w:val="18"/>
                <w:szCs w:val="18"/>
                <w:u w:val="none"/>
              </w:rPr>
            </w:pPr>
          </w:p>
        </w:tc>
        <w:tc>
          <w:tcPr>
            <w:tcW w:w="1155" w:type="dxa"/>
            <w:shd w:val="clear" w:color="auto" w:fill="auto"/>
            <w:vAlign w:val="center"/>
          </w:tcPr>
          <w:p>
            <w:pPr>
              <w:rPr>
                <w:rFonts w:hint="eastAsia" w:ascii="宋体" w:hAnsi="宋体" w:eastAsia="宋体" w:cs="宋体"/>
                <w:i w:val="0"/>
                <w:color w:val="000000"/>
                <w:sz w:val="18"/>
                <w:szCs w:val="18"/>
                <w:u w:val="none"/>
              </w:rPr>
            </w:pPr>
          </w:p>
        </w:tc>
        <w:tc>
          <w:tcPr>
            <w:tcW w:w="350" w:type="dxa"/>
            <w:shd w:val="clear" w:color="auto" w:fill="auto"/>
            <w:vAlign w:val="center"/>
          </w:tcPr>
          <w:p>
            <w:pPr>
              <w:rPr>
                <w:rFonts w:hint="eastAsia" w:ascii="宋体" w:hAnsi="宋体" w:eastAsia="宋体" w:cs="宋体"/>
                <w:i w:val="0"/>
                <w:color w:val="000000"/>
                <w:sz w:val="18"/>
                <w:szCs w:val="18"/>
                <w:u w:val="none"/>
              </w:rPr>
            </w:pPr>
          </w:p>
        </w:tc>
        <w:tc>
          <w:tcPr>
            <w:tcW w:w="863" w:type="dxa"/>
            <w:shd w:val="clear" w:color="auto" w:fill="auto"/>
            <w:vAlign w:val="center"/>
          </w:tcPr>
          <w:p>
            <w:pPr>
              <w:rPr>
                <w:rFonts w:hint="eastAsia" w:ascii="宋体" w:hAnsi="宋体" w:eastAsia="宋体" w:cs="宋体"/>
                <w:i w:val="0"/>
                <w:color w:val="000000"/>
                <w:sz w:val="18"/>
                <w:szCs w:val="18"/>
                <w:u w:val="none"/>
              </w:rPr>
            </w:pPr>
          </w:p>
        </w:tc>
        <w:tc>
          <w:tcPr>
            <w:tcW w:w="799" w:type="dxa"/>
            <w:shd w:val="clear" w:color="auto" w:fill="auto"/>
            <w:vAlign w:val="center"/>
          </w:tcPr>
          <w:p>
            <w:pPr>
              <w:rPr>
                <w:rFonts w:hint="eastAsia" w:ascii="宋体" w:hAnsi="宋体" w:eastAsia="宋体" w:cs="宋体"/>
                <w:i w:val="0"/>
                <w:color w:val="000000"/>
                <w:sz w:val="18"/>
                <w:szCs w:val="18"/>
                <w:u w:val="none"/>
              </w:rPr>
            </w:pPr>
          </w:p>
        </w:tc>
        <w:tc>
          <w:tcPr>
            <w:tcW w:w="75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1465" w:type="dxa"/>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51050022T000007267277-地方检察办案费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叙永县检察院部门</w:t>
            </w:r>
          </w:p>
        </w:tc>
        <w:tc>
          <w:tcPr>
            <w:tcW w:w="752"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完成上级院下达的检察工作目标，服务地方中心工作；推进地方经济建设，确保各项检察业务顺利开展。</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完成了上级院下达的检察工作目标，服务地方中心工作；推进地方经济建设，确保各项检察业务顺利开展。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着力解决检察业务办案中的差旅、交通、维修等办案业务和办案设备购置，保障检察各项工作得以正常开展。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265.96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99.98%</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截止2023年底，项目资金已支出265.96万元，支出进度99.98%，剩余于0.04万元未支出，其原因是政府采购办公办案家具节约采购资金。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265.96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99.98%</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检查频次</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抽检覆盖率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年度检查任务按时完成率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加强法制宣传，提高地方经济发展率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检查人员被投诉次数</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办案成本支出</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48356.36</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本项目的绩效目标指标全部完成，最终得分100分，绩效评价优秀。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绩效成本指标不够细化，今后将根据本院实际情况，深入分析，选择适合本院的细化成本指标。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叙永县人民检察院将注意规范指标名称、科学定义指标内容，结合项目实际，加强对相关人员绩效管理知识及技能培训，合理科学制定绩效目标、提高预算编制准确性；注重绩效目标同预算同步调整。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项目负责人：周迪</w:t>
            </w:r>
          </w:p>
        </w:tc>
        <w:tc>
          <w:tcPr>
            <w:tcW w:w="4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财务负责人：黄勇东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shd w:val="clear" w:color="auto" w:fill="auto"/>
            <w:vAlign w:val="center"/>
          </w:tcPr>
          <w:p>
            <w:pPr>
              <w:rPr>
                <w:rFonts w:hint="eastAsia" w:ascii="宋体" w:hAnsi="宋体" w:eastAsia="宋体" w:cs="宋体"/>
                <w:i w:val="0"/>
                <w:color w:val="000000"/>
                <w:sz w:val="18"/>
                <w:szCs w:val="18"/>
                <w:u w:val="none"/>
              </w:rPr>
            </w:pPr>
          </w:p>
        </w:tc>
        <w:tc>
          <w:tcPr>
            <w:tcW w:w="1031" w:type="dxa"/>
            <w:shd w:val="clear" w:color="auto" w:fill="auto"/>
            <w:vAlign w:val="center"/>
          </w:tcPr>
          <w:p>
            <w:pPr>
              <w:rPr>
                <w:rFonts w:hint="eastAsia" w:ascii="宋体" w:hAnsi="宋体" w:eastAsia="宋体" w:cs="宋体"/>
                <w:i w:val="0"/>
                <w:color w:val="000000"/>
                <w:sz w:val="18"/>
                <w:szCs w:val="18"/>
                <w:u w:val="none"/>
              </w:rPr>
            </w:pPr>
          </w:p>
        </w:tc>
        <w:tc>
          <w:tcPr>
            <w:tcW w:w="925" w:type="dxa"/>
            <w:shd w:val="clear" w:color="auto" w:fill="auto"/>
            <w:vAlign w:val="center"/>
          </w:tcPr>
          <w:p>
            <w:pPr>
              <w:rPr>
                <w:rFonts w:hint="eastAsia" w:ascii="宋体" w:hAnsi="宋体" w:eastAsia="宋体" w:cs="宋体"/>
                <w:i w:val="0"/>
                <w:color w:val="000000"/>
                <w:sz w:val="18"/>
                <w:szCs w:val="18"/>
                <w:u w:val="none"/>
              </w:rPr>
            </w:pPr>
          </w:p>
        </w:tc>
        <w:tc>
          <w:tcPr>
            <w:tcW w:w="1155" w:type="dxa"/>
            <w:shd w:val="clear" w:color="auto" w:fill="auto"/>
            <w:vAlign w:val="center"/>
          </w:tcPr>
          <w:p>
            <w:pPr>
              <w:rPr>
                <w:rFonts w:hint="eastAsia" w:ascii="宋体" w:hAnsi="宋体" w:eastAsia="宋体" w:cs="宋体"/>
                <w:i w:val="0"/>
                <w:color w:val="000000"/>
                <w:sz w:val="18"/>
                <w:szCs w:val="18"/>
                <w:u w:val="none"/>
              </w:rPr>
            </w:pPr>
          </w:p>
        </w:tc>
        <w:tc>
          <w:tcPr>
            <w:tcW w:w="350" w:type="dxa"/>
            <w:shd w:val="clear" w:color="auto" w:fill="auto"/>
            <w:vAlign w:val="center"/>
          </w:tcPr>
          <w:p>
            <w:pPr>
              <w:rPr>
                <w:rFonts w:hint="eastAsia" w:ascii="宋体" w:hAnsi="宋体" w:eastAsia="宋体" w:cs="宋体"/>
                <w:i w:val="0"/>
                <w:color w:val="000000"/>
                <w:sz w:val="18"/>
                <w:szCs w:val="18"/>
                <w:u w:val="none"/>
              </w:rPr>
            </w:pPr>
          </w:p>
        </w:tc>
        <w:tc>
          <w:tcPr>
            <w:tcW w:w="863" w:type="dxa"/>
            <w:shd w:val="clear" w:color="auto" w:fill="auto"/>
            <w:vAlign w:val="center"/>
          </w:tcPr>
          <w:p>
            <w:pPr>
              <w:rPr>
                <w:rFonts w:hint="eastAsia" w:ascii="宋体" w:hAnsi="宋体" w:eastAsia="宋体" w:cs="宋体"/>
                <w:i w:val="0"/>
                <w:color w:val="000000"/>
                <w:sz w:val="18"/>
                <w:szCs w:val="18"/>
                <w:u w:val="none"/>
              </w:rPr>
            </w:pPr>
          </w:p>
        </w:tc>
        <w:tc>
          <w:tcPr>
            <w:tcW w:w="799" w:type="dxa"/>
            <w:shd w:val="clear" w:color="auto" w:fill="auto"/>
            <w:vAlign w:val="center"/>
          </w:tcPr>
          <w:p>
            <w:pPr>
              <w:rPr>
                <w:rFonts w:hint="eastAsia" w:ascii="宋体" w:hAnsi="宋体" w:eastAsia="宋体" w:cs="宋体"/>
                <w:i w:val="0"/>
                <w:color w:val="000000"/>
                <w:sz w:val="18"/>
                <w:szCs w:val="18"/>
                <w:u w:val="none"/>
              </w:rPr>
            </w:pPr>
          </w:p>
        </w:tc>
        <w:tc>
          <w:tcPr>
            <w:tcW w:w="75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1465" w:type="dxa"/>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51050022T000007482143-单位资金（财政代管）支出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叙永县检察院部门</w:t>
            </w:r>
          </w:p>
        </w:tc>
        <w:tc>
          <w:tcPr>
            <w:tcW w:w="752"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医疗补助和司法救助及案款等的代管</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保障医疗补助和司法救助落实到位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医疗补助、司法救助金等及时支付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20.79</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20.79</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20.79</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20.79</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司法救助率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资金上缴率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项目负责人：周迪</w:t>
            </w:r>
          </w:p>
        </w:tc>
        <w:tc>
          <w:tcPr>
            <w:tcW w:w="4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财务负责人：黄勇东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shd w:val="clear" w:color="auto" w:fill="auto"/>
            <w:vAlign w:val="center"/>
          </w:tcPr>
          <w:p>
            <w:pPr>
              <w:rPr>
                <w:rFonts w:hint="eastAsia" w:ascii="宋体" w:hAnsi="宋体" w:eastAsia="宋体" w:cs="宋体"/>
                <w:i w:val="0"/>
                <w:color w:val="000000"/>
                <w:sz w:val="18"/>
                <w:szCs w:val="18"/>
                <w:u w:val="none"/>
              </w:rPr>
            </w:pPr>
          </w:p>
        </w:tc>
        <w:tc>
          <w:tcPr>
            <w:tcW w:w="1031" w:type="dxa"/>
            <w:shd w:val="clear" w:color="auto" w:fill="auto"/>
            <w:vAlign w:val="center"/>
          </w:tcPr>
          <w:p>
            <w:pPr>
              <w:rPr>
                <w:rFonts w:hint="eastAsia" w:ascii="宋体" w:hAnsi="宋体" w:eastAsia="宋体" w:cs="宋体"/>
                <w:i w:val="0"/>
                <w:color w:val="000000"/>
                <w:sz w:val="18"/>
                <w:szCs w:val="18"/>
                <w:u w:val="none"/>
              </w:rPr>
            </w:pPr>
          </w:p>
        </w:tc>
        <w:tc>
          <w:tcPr>
            <w:tcW w:w="925" w:type="dxa"/>
            <w:shd w:val="clear" w:color="auto" w:fill="auto"/>
            <w:vAlign w:val="center"/>
          </w:tcPr>
          <w:p>
            <w:pPr>
              <w:rPr>
                <w:rFonts w:hint="eastAsia" w:ascii="宋体" w:hAnsi="宋体" w:eastAsia="宋体" w:cs="宋体"/>
                <w:i w:val="0"/>
                <w:color w:val="000000"/>
                <w:sz w:val="18"/>
                <w:szCs w:val="18"/>
                <w:u w:val="none"/>
              </w:rPr>
            </w:pPr>
          </w:p>
        </w:tc>
        <w:tc>
          <w:tcPr>
            <w:tcW w:w="1155" w:type="dxa"/>
            <w:shd w:val="clear" w:color="auto" w:fill="auto"/>
            <w:vAlign w:val="center"/>
          </w:tcPr>
          <w:p>
            <w:pPr>
              <w:rPr>
                <w:rFonts w:hint="eastAsia" w:ascii="宋体" w:hAnsi="宋体" w:eastAsia="宋体" w:cs="宋体"/>
                <w:i w:val="0"/>
                <w:color w:val="000000"/>
                <w:sz w:val="18"/>
                <w:szCs w:val="18"/>
                <w:u w:val="none"/>
              </w:rPr>
            </w:pPr>
          </w:p>
        </w:tc>
        <w:tc>
          <w:tcPr>
            <w:tcW w:w="350" w:type="dxa"/>
            <w:shd w:val="clear" w:color="auto" w:fill="auto"/>
            <w:vAlign w:val="center"/>
          </w:tcPr>
          <w:p>
            <w:pPr>
              <w:rPr>
                <w:rFonts w:hint="eastAsia" w:ascii="宋体" w:hAnsi="宋体" w:eastAsia="宋体" w:cs="宋体"/>
                <w:i w:val="0"/>
                <w:color w:val="000000"/>
                <w:sz w:val="18"/>
                <w:szCs w:val="18"/>
                <w:u w:val="none"/>
              </w:rPr>
            </w:pPr>
          </w:p>
        </w:tc>
        <w:tc>
          <w:tcPr>
            <w:tcW w:w="863" w:type="dxa"/>
            <w:shd w:val="clear" w:color="auto" w:fill="auto"/>
            <w:vAlign w:val="center"/>
          </w:tcPr>
          <w:p>
            <w:pPr>
              <w:rPr>
                <w:rFonts w:hint="eastAsia" w:ascii="宋体" w:hAnsi="宋体" w:eastAsia="宋体" w:cs="宋体"/>
                <w:i w:val="0"/>
                <w:color w:val="000000"/>
                <w:sz w:val="18"/>
                <w:szCs w:val="18"/>
                <w:u w:val="none"/>
              </w:rPr>
            </w:pPr>
          </w:p>
        </w:tc>
        <w:tc>
          <w:tcPr>
            <w:tcW w:w="799" w:type="dxa"/>
            <w:shd w:val="clear" w:color="auto" w:fill="auto"/>
            <w:vAlign w:val="center"/>
          </w:tcPr>
          <w:p>
            <w:pPr>
              <w:rPr>
                <w:rFonts w:hint="eastAsia" w:ascii="宋体" w:hAnsi="宋体" w:eastAsia="宋体" w:cs="宋体"/>
                <w:i w:val="0"/>
                <w:color w:val="000000"/>
                <w:sz w:val="18"/>
                <w:szCs w:val="18"/>
                <w:u w:val="none"/>
              </w:rPr>
            </w:pPr>
          </w:p>
        </w:tc>
        <w:tc>
          <w:tcPr>
            <w:tcW w:w="75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1465" w:type="dxa"/>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51050023T000008126114-聘用书记员经费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叙永县检察院部门</w:t>
            </w:r>
          </w:p>
        </w:tc>
        <w:tc>
          <w:tcPr>
            <w:tcW w:w="752"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协助开展审查逮捕、侦查监督、公诉和审判监督、控告申诉等各项检察业务，推动各项业务深入发展，提升检察工作水平；完成上级院下达的检察工作目标及服务地方中心工作，确保各项检察业务顺利开展。                                                                                                                                                                                         </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协助开了展审查逮捕、侦查监督、公诉和审判监督、控告申诉等各项检察业务，推动各项业务深入发展，提升检察工作水平；完成上级院下达的检察工作目标及服务地方中心工作，确保各项检察业务顺利开展。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项目旨在确保聘用人员和聘用书记人员相关工作经费，包含工资、津补贴、保险、公积金等各项待遇。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完成2023年刑事案件的审查逮捕、审查起诉、出庭支持公诉、抗诉等工作</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案件数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案件办理质量达标率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加强法制宣传，提高地方经济发展率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群众法制宣传满意度</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聘用人员保险</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聘用人员体检费</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聘用人员工资福利费</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聘用人员食堂费用等零星开支</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聘用人员差旅等办案成本性支出</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聘用人员工会经费</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本项目的绩效目标均已完成，最终得分100分，绩效评价优秀。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部分指标不够细化，今后将根据本院实际情况，深入分析，选择适合本院的细化绩效指标。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叙永县人民检察院将注意规范指标名称、科学定义指标内容，结合项目实际，加强对相关人员绩效管理知识及技能培训，合理科学制定绩效目标、提高预算编制准确性；注重绩效目标同预算同步调整。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项目负责人：周迪</w:t>
            </w:r>
          </w:p>
        </w:tc>
        <w:tc>
          <w:tcPr>
            <w:tcW w:w="4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财务负责人：黄勇东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shd w:val="clear" w:color="auto" w:fill="auto"/>
            <w:vAlign w:val="center"/>
          </w:tcPr>
          <w:p>
            <w:pPr>
              <w:rPr>
                <w:rFonts w:hint="eastAsia" w:ascii="宋体" w:hAnsi="宋体" w:eastAsia="宋体" w:cs="宋体"/>
                <w:i w:val="0"/>
                <w:color w:val="000000"/>
                <w:sz w:val="18"/>
                <w:szCs w:val="18"/>
                <w:u w:val="none"/>
              </w:rPr>
            </w:pPr>
          </w:p>
        </w:tc>
        <w:tc>
          <w:tcPr>
            <w:tcW w:w="1031" w:type="dxa"/>
            <w:shd w:val="clear" w:color="auto" w:fill="auto"/>
            <w:vAlign w:val="center"/>
          </w:tcPr>
          <w:p>
            <w:pPr>
              <w:rPr>
                <w:rFonts w:hint="eastAsia" w:ascii="宋体" w:hAnsi="宋体" w:eastAsia="宋体" w:cs="宋体"/>
                <w:i w:val="0"/>
                <w:color w:val="000000"/>
                <w:sz w:val="18"/>
                <w:szCs w:val="18"/>
                <w:u w:val="none"/>
              </w:rPr>
            </w:pPr>
          </w:p>
        </w:tc>
        <w:tc>
          <w:tcPr>
            <w:tcW w:w="925" w:type="dxa"/>
            <w:shd w:val="clear" w:color="auto" w:fill="auto"/>
            <w:vAlign w:val="center"/>
          </w:tcPr>
          <w:p>
            <w:pPr>
              <w:rPr>
                <w:rFonts w:hint="eastAsia" w:ascii="宋体" w:hAnsi="宋体" w:eastAsia="宋体" w:cs="宋体"/>
                <w:i w:val="0"/>
                <w:color w:val="000000"/>
                <w:sz w:val="18"/>
                <w:szCs w:val="18"/>
                <w:u w:val="none"/>
              </w:rPr>
            </w:pPr>
          </w:p>
        </w:tc>
        <w:tc>
          <w:tcPr>
            <w:tcW w:w="1155" w:type="dxa"/>
            <w:shd w:val="clear" w:color="auto" w:fill="auto"/>
            <w:vAlign w:val="center"/>
          </w:tcPr>
          <w:p>
            <w:pPr>
              <w:rPr>
                <w:rFonts w:hint="eastAsia" w:ascii="宋体" w:hAnsi="宋体" w:eastAsia="宋体" w:cs="宋体"/>
                <w:i w:val="0"/>
                <w:color w:val="000000"/>
                <w:sz w:val="18"/>
                <w:szCs w:val="18"/>
                <w:u w:val="none"/>
              </w:rPr>
            </w:pPr>
          </w:p>
        </w:tc>
        <w:tc>
          <w:tcPr>
            <w:tcW w:w="350" w:type="dxa"/>
            <w:shd w:val="clear" w:color="auto" w:fill="auto"/>
            <w:vAlign w:val="center"/>
          </w:tcPr>
          <w:p>
            <w:pPr>
              <w:rPr>
                <w:rFonts w:hint="eastAsia" w:ascii="宋体" w:hAnsi="宋体" w:eastAsia="宋体" w:cs="宋体"/>
                <w:i w:val="0"/>
                <w:color w:val="000000"/>
                <w:sz w:val="18"/>
                <w:szCs w:val="18"/>
                <w:u w:val="none"/>
              </w:rPr>
            </w:pPr>
          </w:p>
        </w:tc>
        <w:tc>
          <w:tcPr>
            <w:tcW w:w="863" w:type="dxa"/>
            <w:shd w:val="clear" w:color="auto" w:fill="auto"/>
            <w:vAlign w:val="center"/>
          </w:tcPr>
          <w:p>
            <w:pPr>
              <w:rPr>
                <w:rFonts w:hint="eastAsia" w:ascii="宋体" w:hAnsi="宋体" w:eastAsia="宋体" w:cs="宋体"/>
                <w:i w:val="0"/>
                <w:color w:val="000000"/>
                <w:sz w:val="18"/>
                <w:szCs w:val="18"/>
                <w:u w:val="none"/>
              </w:rPr>
            </w:pPr>
          </w:p>
        </w:tc>
        <w:tc>
          <w:tcPr>
            <w:tcW w:w="799" w:type="dxa"/>
            <w:shd w:val="clear" w:color="auto" w:fill="auto"/>
            <w:vAlign w:val="center"/>
          </w:tcPr>
          <w:p>
            <w:pPr>
              <w:rPr>
                <w:rFonts w:hint="eastAsia" w:ascii="宋体" w:hAnsi="宋体" w:eastAsia="宋体" w:cs="宋体"/>
                <w:i w:val="0"/>
                <w:color w:val="000000"/>
                <w:sz w:val="18"/>
                <w:szCs w:val="18"/>
                <w:u w:val="none"/>
              </w:rPr>
            </w:pPr>
          </w:p>
        </w:tc>
        <w:tc>
          <w:tcPr>
            <w:tcW w:w="75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1465" w:type="dxa"/>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51050023T000008567069-地方检察办案经费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叙永县检察院部门</w:t>
            </w:r>
          </w:p>
        </w:tc>
        <w:tc>
          <w:tcPr>
            <w:tcW w:w="752"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完成上级院下达的检察工作目标，服务地方中心工作；推进地方经济建设，确保各项检察业务顺利开展。</w:t>
            </w:r>
          </w:p>
        </w:tc>
        <w:tc>
          <w:tcPr>
            <w:tcW w:w="2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完成上级院下达的检察工作目标，服务地方中心工作；推进地方经济建设，确保各项检察业务顺利开展。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本院“三化”建设及大数据基础建设工作顺利开展，主要采购内容包括人脸门禁一体机、应用主机、显示设备、数字刑检平台、吸毒后人脸变化一体机、反诈综合功能一体机、画框、三眼摄像机、综合安防管理平台、一体化设备柜、显示单元、低音音箱、多视呈现系统、指挥席控制台、管理主机、异形吧台定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453.00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453.00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为确保本院机关“三化”建设（一期）及大数据基础建设项目（设施设备）正常启动，增加了预算。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453.00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453.00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检查频次</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抽检覆盖率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加强法制宣传，提高地方经济发展率</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检察人员被投诉次数</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办案成本支出</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本项目的绩效目标均已完成，最终得分100分，绩效评价优秀。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部分指标不够细化，今后将根据本院实际情况，深入分析，选择适合本院的细化绩效指标。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叙永县人民检察院将注意规范指标名称、科学定义指标内容，结合项目实际，加强对相关人员绩效管理知识及技能培训，合理科学制定绩效目标、提高预算编制准确性；注重绩效目标同预算同步调整。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项目负责人：周迪</w:t>
            </w:r>
          </w:p>
        </w:tc>
        <w:tc>
          <w:tcPr>
            <w:tcW w:w="4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财务负责人：黄勇东</w:t>
            </w:r>
          </w:p>
        </w:tc>
      </w:tr>
    </w:tbl>
    <w:p>
      <w:pPr>
        <w:widowControl/>
        <w:jc w:val="left"/>
        <w:rPr>
          <w:rStyle w:val="27"/>
          <w:rFonts w:ascii="黑体" w:hAnsi="黑体" w:eastAsia="黑体"/>
          <w:b w:val="0"/>
          <w:color w:val="auto"/>
          <w:highlight w:val="none"/>
        </w:rPr>
      </w:pPr>
      <w:r>
        <w:rPr>
          <w:rStyle w:val="27"/>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98" w:name="_Toc15396618"/>
      <w:bookmarkStart w:id="99" w:name="_Toc14149_WPSOffice_Level1"/>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95"/>
      <w:bookmarkEnd w:id="98"/>
      <w:bookmarkEnd w:id="99"/>
      <w:bookmarkStart w:id="100" w:name="_Toc15396619"/>
    </w:p>
    <w:p>
      <w:pPr>
        <w:pStyle w:val="5"/>
        <w:rPr>
          <w:rFonts w:ascii="仿宋" w:hAnsi="仿宋" w:eastAsia="仿宋"/>
          <w:color w:val="auto"/>
          <w:highlight w:val="none"/>
        </w:rPr>
      </w:pPr>
      <w:bookmarkStart w:id="101" w:name="_Toc10916_WPSOffice_Level2"/>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100"/>
      <w:bookmarkEnd w:id="101"/>
    </w:p>
    <w:p>
      <w:pPr>
        <w:pStyle w:val="5"/>
        <w:rPr>
          <w:rFonts w:ascii="仿宋" w:hAnsi="仿宋" w:eastAsia="仿宋"/>
          <w:color w:val="auto"/>
          <w:highlight w:val="none"/>
        </w:rPr>
      </w:pPr>
      <w:bookmarkStart w:id="102" w:name="_Toc15396620"/>
      <w:bookmarkStart w:id="103" w:name="_Toc20208_WPSOffice_Level2"/>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102"/>
      <w:bookmarkEnd w:id="103"/>
    </w:p>
    <w:p>
      <w:pPr>
        <w:pStyle w:val="5"/>
        <w:rPr>
          <w:rFonts w:ascii="仿宋" w:hAnsi="仿宋" w:eastAsia="仿宋"/>
          <w:color w:val="auto"/>
          <w:highlight w:val="none"/>
        </w:rPr>
      </w:pPr>
      <w:bookmarkStart w:id="104" w:name="_Toc15396621"/>
      <w:bookmarkStart w:id="105" w:name="_Toc6302_WPSOffice_Level2"/>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104"/>
      <w:bookmarkEnd w:id="105"/>
    </w:p>
    <w:p>
      <w:pPr>
        <w:pStyle w:val="5"/>
        <w:rPr>
          <w:rFonts w:ascii="仿宋" w:hAnsi="仿宋" w:eastAsia="仿宋"/>
          <w:b w:val="0"/>
          <w:color w:val="auto"/>
          <w:highlight w:val="none"/>
        </w:rPr>
      </w:pPr>
      <w:bookmarkStart w:id="106" w:name="_Toc15396622"/>
      <w:bookmarkStart w:id="107" w:name="_Toc13839_WPSOffice_Level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106"/>
      <w:bookmarkEnd w:id="107"/>
    </w:p>
    <w:p>
      <w:pPr>
        <w:pStyle w:val="5"/>
        <w:rPr>
          <w:rStyle w:val="28"/>
          <w:rFonts w:ascii="仿宋" w:hAnsi="仿宋" w:eastAsia="仿宋"/>
          <w:b w:val="0"/>
          <w:bCs w:val="0"/>
          <w:color w:val="auto"/>
          <w:highlight w:val="none"/>
        </w:rPr>
      </w:pPr>
      <w:bookmarkStart w:id="108" w:name="_Toc15396623"/>
      <w:bookmarkStart w:id="109" w:name="_Toc21436_WPSOffice_Level2"/>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108"/>
      <w:bookmarkEnd w:id="109"/>
      <w:bookmarkStart w:id="110" w:name="_Toc15396624"/>
    </w:p>
    <w:p>
      <w:pPr>
        <w:pStyle w:val="5"/>
        <w:rPr>
          <w:rFonts w:ascii="仿宋" w:hAnsi="仿宋" w:eastAsia="仿宋"/>
          <w:color w:val="auto"/>
          <w:highlight w:val="none"/>
        </w:rPr>
      </w:pPr>
      <w:bookmarkStart w:id="111" w:name="_Toc10342_WPSOffice_Level2"/>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110"/>
      <w:bookmarkEnd w:id="111"/>
    </w:p>
    <w:p>
      <w:pPr>
        <w:pStyle w:val="5"/>
        <w:rPr>
          <w:rFonts w:ascii="仿宋" w:hAnsi="仿宋" w:eastAsia="仿宋"/>
          <w:color w:val="auto"/>
          <w:highlight w:val="none"/>
        </w:rPr>
      </w:pPr>
      <w:bookmarkStart w:id="112" w:name="_Toc15396625"/>
      <w:bookmarkStart w:id="113" w:name="_Toc12872_WPSOffice_Level2"/>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112"/>
      <w:bookmarkEnd w:id="113"/>
    </w:p>
    <w:p>
      <w:pPr>
        <w:pStyle w:val="5"/>
        <w:rPr>
          <w:rFonts w:ascii="仿宋" w:hAnsi="仿宋" w:eastAsia="仿宋"/>
          <w:color w:val="auto"/>
          <w:highlight w:val="none"/>
        </w:rPr>
      </w:pPr>
      <w:bookmarkStart w:id="114" w:name="_Toc15396626"/>
      <w:bookmarkStart w:id="115" w:name="_Toc2606_WPSOffice_Level2"/>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114"/>
      <w:bookmarkEnd w:id="115"/>
    </w:p>
    <w:p>
      <w:pPr>
        <w:pStyle w:val="5"/>
        <w:rPr>
          <w:rFonts w:ascii="仿宋" w:hAnsi="仿宋" w:eastAsia="仿宋"/>
          <w:color w:val="auto"/>
          <w:highlight w:val="none"/>
        </w:rPr>
      </w:pPr>
      <w:bookmarkStart w:id="116" w:name="_Toc15396627"/>
      <w:bookmarkStart w:id="117" w:name="_Toc14922_WPSOffice_Level2"/>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116"/>
      <w:bookmarkEnd w:id="117"/>
    </w:p>
    <w:p>
      <w:pPr>
        <w:pStyle w:val="5"/>
        <w:rPr>
          <w:rFonts w:ascii="仿宋" w:hAnsi="仿宋" w:eastAsia="仿宋"/>
          <w:color w:val="auto"/>
          <w:highlight w:val="none"/>
        </w:rPr>
      </w:pPr>
      <w:bookmarkStart w:id="118" w:name="_Toc15396628"/>
      <w:bookmarkStart w:id="119" w:name="_Toc31036_WPSOffice_Level2"/>
      <w:r>
        <w:rPr>
          <w:rStyle w:val="28"/>
          <w:rFonts w:hint="eastAsia" w:ascii="仿宋" w:hAnsi="仿宋" w:eastAsia="仿宋"/>
          <w:b w:val="0"/>
          <w:bCs w:val="0"/>
          <w:color w:val="auto"/>
          <w:highlight w:val="none"/>
        </w:rPr>
        <w:t>十、</w:t>
      </w:r>
      <w:bookmarkEnd w:id="118"/>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19"/>
    </w:p>
    <w:p>
      <w:pPr>
        <w:pStyle w:val="5"/>
        <w:rPr>
          <w:rFonts w:ascii="仿宋" w:hAnsi="仿宋" w:eastAsia="仿宋"/>
          <w:color w:val="auto"/>
          <w:highlight w:val="none"/>
        </w:rPr>
      </w:pPr>
      <w:bookmarkStart w:id="120" w:name="_Toc15396629"/>
      <w:bookmarkStart w:id="121" w:name="_Toc10885_WPSOffice_Level2"/>
      <w:r>
        <w:rPr>
          <w:rStyle w:val="28"/>
          <w:rFonts w:hint="eastAsia" w:ascii="仿宋" w:hAnsi="仿宋" w:eastAsia="仿宋"/>
          <w:b w:val="0"/>
          <w:bCs w:val="0"/>
          <w:color w:val="auto"/>
          <w:highlight w:val="none"/>
        </w:rPr>
        <w:t>十一、</w:t>
      </w:r>
      <w:bookmarkEnd w:id="120"/>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21"/>
    </w:p>
    <w:p>
      <w:pPr>
        <w:pStyle w:val="5"/>
        <w:rPr>
          <w:rFonts w:ascii="仿宋" w:hAnsi="仿宋" w:eastAsia="仿宋"/>
          <w:color w:val="auto"/>
          <w:highlight w:val="none"/>
        </w:rPr>
      </w:pPr>
      <w:bookmarkStart w:id="122" w:name="_Toc15396630"/>
      <w:bookmarkStart w:id="123" w:name="_Toc30850_WPSOffice_Level2"/>
      <w:r>
        <w:rPr>
          <w:rStyle w:val="28"/>
          <w:rFonts w:hint="eastAsia" w:ascii="仿宋" w:hAnsi="仿宋" w:eastAsia="仿宋"/>
          <w:b w:val="0"/>
          <w:bCs w:val="0"/>
          <w:color w:val="auto"/>
          <w:highlight w:val="none"/>
        </w:rPr>
        <w:t>十二、</w:t>
      </w:r>
      <w:bookmarkEnd w:id="122"/>
      <w:r>
        <w:rPr>
          <w:rStyle w:val="28"/>
          <w:rFonts w:hint="eastAsia" w:ascii="仿宋" w:hAnsi="仿宋" w:eastAsia="仿宋"/>
          <w:b w:val="0"/>
          <w:bCs w:val="0"/>
          <w:color w:val="auto"/>
          <w:highlight w:val="none"/>
          <w:lang w:eastAsia="zh-CN"/>
        </w:rPr>
        <w:t>国有资本经营预算财政拨款支出决算表</w:t>
      </w:r>
      <w:bookmarkEnd w:id="123"/>
    </w:p>
    <w:p>
      <w:pPr>
        <w:pStyle w:val="5"/>
        <w:rPr>
          <w:rFonts w:hint="eastAsia" w:eastAsia="仿宋"/>
          <w:color w:val="auto"/>
          <w:highlight w:val="none"/>
          <w:lang w:eastAsia="zh-CN"/>
        </w:rPr>
      </w:pPr>
      <w:bookmarkStart w:id="124" w:name="_Toc15396631"/>
      <w:bookmarkStart w:id="125" w:name="_Toc9330_WPSOffice_Level2"/>
      <w:r>
        <w:rPr>
          <w:rStyle w:val="28"/>
          <w:rFonts w:hint="eastAsia" w:ascii="仿宋" w:hAnsi="仿宋" w:eastAsia="仿宋"/>
          <w:b w:val="0"/>
          <w:bCs w:val="0"/>
          <w:color w:val="auto"/>
          <w:highlight w:val="none"/>
        </w:rPr>
        <w:t>十三、</w:t>
      </w:r>
      <w:bookmarkEnd w:id="124"/>
      <w:r>
        <w:rPr>
          <w:rStyle w:val="28"/>
          <w:rFonts w:hint="eastAsia" w:ascii="仿宋" w:hAnsi="仿宋" w:eastAsia="仿宋"/>
          <w:b w:val="0"/>
          <w:bCs w:val="0"/>
          <w:color w:val="auto"/>
          <w:highlight w:val="none"/>
          <w:lang w:eastAsia="zh-CN"/>
        </w:rPr>
        <w:t>财政拨款“三公”经费支出决算表</w:t>
      </w:r>
      <w:bookmarkEnd w:id="125"/>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740195"/>
    <w:rsid w:val="02DE2EA3"/>
    <w:rsid w:val="02FA7468"/>
    <w:rsid w:val="036D15A6"/>
    <w:rsid w:val="066E0107"/>
    <w:rsid w:val="06943044"/>
    <w:rsid w:val="07996F6E"/>
    <w:rsid w:val="082460B4"/>
    <w:rsid w:val="0A2032A3"/>
    <w:rsid w:val="0BF72115"/>
    <w:rsid w:val="0F98263C"/>
    <w:rsid w:val="101860EC"/>
    <w:rsid w:val="10C055FF"/>
    <w:rsid w:val="10DC56FC"/>
    <w:rsid w:val="116B5703"/>
    <w:rsid w:val="118107EC"/>
    <w:rsid w:val="12443986"/>
    <w:rsid w:val="12F969C5"/>
    <w:rsid w:val="137F13DD"/>
    <w:rsid w:val="13D50BC4"/>
    <w:rsid w:val="140D63C2"/>
    <w:rsid w:val="147130E8"/>
    <w:rsid w:val="1656752A"/>
    <w:rsid w:val="16BB723D"/>
    <w:rsid w:val="17171FDD"/>
    <w:rsid w:val="19821E76"/>
    <w:rsid w:val="1BE8440E"/>
    <w:rsid w:val="1D155CEE"/>
    <w:rsid w:val="1D412FEA"/>
    <w:rsid w:val="1FF35744"/>
    <w:rsid w:val="21085AF1"/>
    <w:rsid w:val="21271899"/>
    <w:rsid w:val="22127A01"/>
    <w:rsid w:val="23860B96"/>
    <w:rsid w:val="240371BF"/>
    <w:rsid w:val="26962F5E"/>
    <w:rsid w:val="277C1C3D"/>
    <w:rsid w:val="279502E1"/>
    <w:rsid w:val="29FD04D3"/>
    <w:rsid w:val="2A3D42EF"/>
    <w:rsid w:val="2B4F6D71"/>
    <w:rsid w:val="2C2E07A0"/>
    <w:rsid w:val="2C8A61B5"/>
    <w:rsid w:val="2DF04E50"/>
    <w:rsid w:val="2F040D46"/>
    <w:rsid w:val="2F2A4AFC"/>
    <w:rsid w:val="319F7F4E"/>
    <w:rsid w:val="32516BAE"/>
    <w:rsid w:val="328A5D79"/>
    <w:rsid w:val="32B6721E"/>
    <w:rsid w:val="3304709D"/>
    <w:rsid w:val="348C7206"/>
    <w:rsid w:val="34EB325D"/>
    <w:rsid w:val="36AA5135"/>
    <w:rsid w:val="376D39B2"/>
    <w:rsid w:val="37E16F03"/>
    <w:rsid w:val="37F42E60"/>
    <w:rsid w:val="382B5429"/>
    <w:rsid w:val="38D469F0"/>
    <w:rsid w:val="39F14F9B"/>
    <w:rsid w:val="3A1118DB"/>
    <w:rsid w:val="3AAD30D4"/>
    <w:rsid w:val="3AC841B1"/>
    <w:rsid w:val="3C93462F"/>
    <w:rsid w:val="3D98207C"/>
    <w:rsid w:val="3DEE4108"/>
    <w:rsid w:val="3E78745D"/>
    <w:rsid w:val="409214AB"/>
    <w:rsid w:val="409D3CAE"/>
    <w:rsid w:val="41374B4C"/>
    <w:rsid w:val="415A03F7"/>
    <w:rsid w:val="42CD7D92"/>
    <w:rsid w:val="432D1C07"/>
    <w:rsid w:val="433742B3"/>
    <w:rsid w:val="44E268DA"/>
    <w:rsid w:val="474F6653"/>
    <w:rsid w:val="47A461D8"/>
    <w:rsid w:val="48A00ABB"/>
    <w:rsid w:val="48CB053D"/>
    <w:rsid w:val="49964C23"/>
    <w:rsid w:val="4A627F82"/>
    <w:rsid w:val="4B0E749A"/>
    <w:rsid w:val="4B4A4D7A"/>
    <w:rsid w:val="4B4F25DA"/>
    <w:rsid w:val="4B592A78"/>
    <w:rsid w:val="4BE068DB"/>
    <w:rsid w:val="4BF51CD9"/>
    <w:rsid w:val="4CCD351A"/>
    <w:rsid w:val="4D4C4A0B"/>
    <w:rsid w:val="4D577224"/>
    <w:rsid w:val="4DA87F0D"/>
    <w:rsid w:val="4DB71879"/>
    <w:rsid w:val="4DC5363A"/>
    <w:rsid w:val="4EAB630A"/>
    <w:rsid w:val="4ECE2238"/>
    <w:rsid w:val="507F7071"/>
    <w:rsid w:val="515C1AF7"/>
    <w:rsid w:val="52BA6E72"/>
    <w:rsid w:val="537E6D0A"/>
    <w:rsid w:val="551941FE"/>
    <w:rsid w:val="55F6458D"/>
    <w:rsid w:val="56530838"/>
    <w:rsid w:val="56F41F9B"/>
    <w:rsid w:val="58664DCF"/>
    <w:rsid w:val="59DB347C"/>
    <w:rsid w:val="5AF92295"/>
    <w:rsid w:val="5CD71FC4"/>
    <w:rsid w:val="5E9B1A73"/>
    <w:rsid w:val="5EB04626"/>
    <w:rsid w:val="5FBE3461"/>
    <w:rsid w:val="63EA14E8"/>
    <w:rsid w:val="671D75DF"/>
    <w:rsid w:val="67921E61"/>
    <w:rsid w:val="699021F5"/>
    <w:rsid w:val="6AB03949"/>
    <w:rsid w:val="6C4A05C8"/>
    <w:rsid w:val="6D0F2053"/>
    <w:rsid w:val="6DA40BB1"/>
    <w:rsid w:val="6E7E3605"/>
    <w:rsid w:val="6F030AE8"/>
    <w:rsid w:val="6FF5CC65"/>
    <w:rsid w:val="715C0E4B"/>
    <w:rsid w:val="71D835BA"/>
    <w:rsid w:val="72734D90"/>
    <w:rsid w:val="731E37E4"/>
    <w:rsid w:val="73AD73D5"/>
    <w:rsid w:val="73B6EB34"/>
    <w:rsid w:val="744731E5"/>
    <w:rsid w:val="76E3355F"/>
    <w:rsid w:val="778769C8"/>
    <w:rsid w:val="7927648B"/>
    <w:rsid w:val="79421CD0"/>
    <w:rsid w:val="79D656BE"/>
    <w:rsid w:val="79EE5BA4"/>
    <w:rsid w:val="7A262FE7"/>
    <w:rsid w:val="7A5C1F93"/>
    <w:rsid w:val="7A894339"/>
    <w:rsid w:val="7B4365B5"/>
    <w:rsid w:val="7CD52E7F"/>
    <w:rsid w:val="7D9B3C5A"/>
    <w:rsid w:val="7EE01A96"/>
    <w:rsid w:val="7EEF11D3"/>
    <w:rsid w:val="7F0B27A1"/>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4"/>
    <w:link w:val="4"/>
    <w:qFormat/>
    <w:uiPriority w:val="9"/>
    <w:rPr>
      <w:rFonts w:ascii="Times New Roman" w:hAnsi="Times New Roman"/>
      <w:b/>
      <w:bCs/>
      <w:kern w:val="44"/>
      <w:sz w:val="44"/>
      <w:szCs w:val="44"/>
    </w:rPr>
  </w:style>
  <w:style w:type="character" w:customStyle="1" w:styleId="28">
    <w:name w:val="标题 2 Char"/>
    <w:basedOn w:val="14"/>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4"/>
    <w:link w:val="9"/>
    <w:semiHidden/>
    <w:qFormat/>
    <w:uiPriority w:val="99"/>
    <w:rPr>
      <w:rFonts w:ascii="Times New Roman" w:hAnsi="Times New Roman"/>
      <w:kern w:val="2"/>
      <w:sz w:val="18"/>
      <w:szCs w:val="18"/>
    </w:rPr>
  </w:style>
  <w:style w:type="character" w:customStyle="1" w:styleId="31">
    <w:name w:val="标题 3 Char"/>
    <w:basedOn w:val="14"/>
    <w:link w:val="6"/>
    <w:qFormat/>
    <w:uiPriority w:val="9"/>
    <w:rPr>
      <w:rFonts w:ascii="Times New Roman" w:hAnsi="Times New Roman"/>
      <w:b/>
      <w:bCs/>
      <w:kern w:val="2"/>
      <w:sz w:val="32"/>
      <w:szCs w:val="32"/>
    </w:rPr>
  </w:style>
  <w:style w:type="paragraph" w:customStyle="1" w:styleId="32">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收、支决算总计变动情况图</a:t>
            </a:r>
            <a:endParaRPr b="1"/>
          </a:p>
        </c:rich>
      </c:tx>
      <c:layout>
        <c:manualLayout>
          <c:xMode val="edge"/>
          <c:yMode val="edge"/>
          <c:x val="0.2655"/>
          <c:y val="0.032170013647884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Sheet1!$A$2:$A$5</c:f>
              <c:strCache>
                <c:ptCount val="4"/>
                <c:pt idx="0">
                  <c:v>2022年</c:v>
                </c:pt>
                <c:pt idx="1">
                  <c:v>2023年</c:v>
                </c:pt>
              </c:strCache>
            </c:strRef>
          </c:cat>
          <c:val>
            <c:numRef>
              <c:f>Sheet1!$B$2:$B$5</c:f>
              <c:numCache>
                <c:formatCode>General</c:formatCode>
                <c:ptCount val="4"/>
                <c:pt idx="0">
                  <c:v>683.08</c:v>
                </c:pt>
                <c:pt idx="1">
                  <c:v>1953.46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Sheet1!$A$2:$A$5</c:f>
              <c:strCache>
                <c:ptCount val="4"/>
                <c:pt idx="0">
                  <c:v>2022年</c:v>
                </c:pt>
                <c:pt idx="1">
                  <c:v>2023年</c:v>
                </c:pt>
              </c:strCache>
            </c:strRef>
          </c:cat>
          <c:val>
            <c:numRef>
              <c:f>Sheet1!$C$2:$C$5</c:f>
              <c:numCache>
                <c:formatCode>General</c:formatCode>
                <c:ptCount val="4"/>
                <c:pt idx="0">
                  <c:v>683.08</c:v>
                </c:pt>
                <c:pt idx="1">
                  <c:v>1953.46</c:v>
                </c:pt>
              </c:numCache>
            </c:numRef>
          </c:val>
        </c:ser>
        <c:dLbls>
          <c:showLegendKey val="0"/>
          <c:showVal val="0"/>
          <c:showCatName val="0"/>
          <c:showSerName val="0"/>
          <c:showPercent val="0"/>
          <c:showBubbleSize val="0"/>
        </c:dLbls>
        <c:gapWidth val="75"/>
        <c:overlap val="-25"/>
        <c:axId val="683022437"/>
        <c:axId val="416549271"/>
      </c:barChart>
      <c:catAx>
        <c:axId val="6830224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549271"/>
        <c:crosses val="autoZero"/>
        <c:auto val="1"/>
        <c:lblAlgn val="ctr"/>
        <c:lblOffset val="100"/>
        <c:noMultiLvlLbl val="0"/>
      </c:catAx>
      <c:valAx>
        <c:axId val="416549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0224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2023年收入决算结构图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一般公共预算财政拨款收入</c:v>
                </c:pt>
              </c:strCache>
            </c:strRef>
          </c:cat>
          <c:val>
            <c:numRef>
              <c:f>Sheet1!$B$2</c:f>
              <c:numCache>
                <c:formatCode>General</c:formatCode>
                <c:ptCount val="1"/>
                <c:pt idx="0">
                  <c:v>1953.46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5"/>
          <c:y val="0.39825"/>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0.00_ </c:formatCode>
                <c:ptCount val="2"/>
                <c:pt idx="0">
                  <c:v>1004.54</c:v>
                </c:pt>
                <c:pt idx="1">
                  <c:v>948.92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683.08</c:v>
                </c:pt>
                <c:pt idx="1">
                  <c:v>1953.46</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elete val="1"/>
          </c:dLbls>
          <c:cat>
            <c:strRef>
              <c:f>Sheet1!$A$2:$A$3</c:f>
              <c:strCache>
                <c:ptCount val="2"/>
                <c:pt idx="0">
                  <c:v>2022年</c:v>
                </c:pt>
                <c:pt idx="1">
                  <c:v>2023年</c:v>
                </c:pt>
              </c:strCache>
            </c:strRef>
          </c:cat>
          <c:val>
            <c:numRef>
              <c:f>Sheet1!$C$2:$C$3</c:f>
              <c:numCache>
                <c:formatCode>General</c:formatCode>
                <c:ptCount val="2"/>
                <c:pt idx="0">
                  <c:v>683.08</c:v>
                </c:pt>
                <c:pt idx="1">
                  <c:v>1953.46</c:v>
                </c:pt>
              </c:numCache>
            </c:numRef>
          </c:val>
        </c:ser>
        <c:dLbls>
          <c:showLegendKey val="0"/>
          <c:showVal val="0"/>
          <c:showCatName val="0"/>
          <c:showSerName val="0"/>
          <c:showPercent val="0"/>
          <c:showBubbleSize val="0"/>
        </c:dLbls>
        <c:gapWidth val="219"/>
        <c:overlap val="-27"/>
        <c:axId val="757215933"/>
        <c:axId val="324980671"/>
      </c:barChart>
      <c:catAx>
        <c:axId val="7572159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4980671"/>
        <c:crosses val="autoZero"/>
        <c:auto val="1"/>
        <c:lblAlgn val="ctr"/>
        <c:lblOffset val="100"/>
        <c:noMultiLvlLbl val="0"/>
      </c:catAx>
      <c:valAx>
        <c:axId val="324980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2159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500"/>
              <a:t>一般公共预算财政拨款支出决算变动情况</a:t>
            </a:r>
            <a:endParaRPr sz="15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一般公共预算财政拨款支出</c:v>
                </c:pt>
              </c:strCache>
            </c:strRef>
          </c:cat>
          <c:val>
            <c:numRef>
              <c:f>Sheet1!$B$2</c:f>
              <c:numCache>
                <c:formatCode>General</c:formatCode>
                <c:ptCount val="1"/>
                <c:pt idx="0">
                  <c:v>683.08</c:v>
                </c:pt>
              </c:numCache>
            </c:numRef>
          </c:val>
        </c:ser>
        <c:ser>
          <c:idx val="1"/>
          <c:order val="1"/>
          <c:tx>
            <c:strRef>
              <c:f>Sheet1!$C$1</c:f>
              <c:strCache>
                <c:ptCount val="1"/>
                <c:pt idx="0">
                  <c:v>2023年</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一般公共预算财政拨款支出</c:v>
                </c:pt>
              </c:strCache>
            </c:strRef>
          </c:cat>
          <c:val>
            <c:numRef>
              <c:f>Sheet1!$C$2</c:f>
              <c:numCache>
                <c:formatCode>General</c:formatCode>
                <c:ptCount val="1"/>
                <c:pt idx="0">
                  <c:v>1953.46</c:v>
                </c:pt>
              </c:numCache>
            </c:numRef>
          </c:val>
        </c:ser>
        <c:dLbls>
          <c:showLegendKey val="0"/>
          <c:showVal val="1"/>
          <c:showCatName val="0"/>
          <c:showSerName val="0"/>
          <c:showPercent val="0"/>
          <c:showBubbleSize val="0"/>
        </c:dLbls>
        <c:gapWidth val="65"/>
        <c:overlap val="0"/>
        <c:axId val="715982115"/>
        <c:axId val="297657006"/>
      </c:barChart>
      <c:catAx>
        <c:axId val="715982115"/>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297657006"/>
        <c:crosses val="autoZero"/>
        <c:auto val="1"/>
        <c:lblAlgn val="ctr"/>
        <c:lblOffset val="100"/>
        <c:noMultiLvlLbl val="0"/>
      </c:catAx>
      <c:valAx>
        <c:axId val="29765700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715982115"/>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1713.42</c:v>
                </c:pt>
                <c:pt idx="1">
                  <c:v>118.25</c:v>
                </c:pt>
                <c:pt idx="2">
                  <c:v>41.22</c:v>
                </c:pt>
                <c:pt idx="3">
                  <c:v>80.56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75.4</c:v>
                </c:pt>
                <c:pt idx="1">
                  <c:v>7.05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7c5158-445f-4baa-bc13-01a27302b5c0}"/>
        <w:style w:val=""/>
        <w:category>
          <w:name w:val="常规"/>
          <w:gallery w:val="placeholder"/>
        </w:category>
        <w:types>
          <w:type w:val="bbPlcHdr"/>
        </w:types>
        <w:behaviors>
          <w:behavior w:val="content"/>
        </w:behaviors>
        <w:description w:val=""/>
        <w:guid w:val="{9a7c5158-445f-4baa-bc13-01a27302b5c0}"/>
      </w:docPartPr>
      <w:docPartBody>
        <w:p>
          <w:r>
            <w:rPr>
              <w:color w:val="808080"/>
            </w:rPr>
            <w:t>单击此处输入文字。</w:t>
          </w:r>
        </w:p>
      </w:docPartBody>
    </w:docPart>
    <w:docPart>
      <w:docPartPr>
        <w:name w:val="{e0d20f5a-a57f-4de8-beb1-8d24a66a607e}"/>
        <w:style w:val=""/>
        <w:category>
          <w:name w:val="常规"/>
          <w:gallery w:val="placeholder"/>
        </w:category>
        <w:types>
          <w:type w:val="bbPlcHdr"/>
        </w:types>
        <w:behaviors>
          <w:behavior w:val="content"/>
        </w:behaviors>
        <w:description w:val=""/>
        <w:guid w:val="{e0d20f5a-a57f-4de8-beb1-8d24a66a607e}"/>
      </w:docPartPr>
      <w:docPartBody>
        <w:p>
          <w:r>
            <w:rPr>
              <w:color w:val="808080"/>
            </w:rPr>
            <w:t>单击此处输入文字。</w:t>
          </w:r>
        </w:p>
      </w:docPartBody>
    </w:docPart>
    <w:docPart>
      <w:docPartPr>
        <w:name w:val="{07740f49-bf4b-490a-8cc7-f0fbf7578f67}"/>
        <w:style w:val=""/>
        <w:category>
          <w:name w:val="常规"/>
          <w:gallery w:val="placeholder"/>
        </w:category>
        <w:types>
          <w:type w:val="bbPlcHdr"/>
        </w:types>
        <w:behaviors>
          <w:behavior w:val="content"/>
        </w:behaviors>
        <w:description w:val=""/>
        <w:guid w:val="{07740f49-bf4b-490a-8cc7-f0fbf7578f67}"/>
      </w:docPartPr>
      <w:docPartBody>
        <w:p>
          <w:r>
            <w:rPr>
              <w:color w:val="808080"/>
            </w:rPr>
            <w:t>单击此处输入文字。</w:t>
          </w:r>
        </w:p>
      </w:docPartBody>
    </w:docPart>
    <w:docPart>
      <w:docPartPr>
        <w:name w:val="{13d3a802-1e9c-46a1-86eb-bab1fff31437}"/>
        <w:style w:val=""/>
        <w:category>
          <w:name w:val="常规"/>
          <w:gallery w:val="placeholder"/>
        </w:category>
        <w:types>
          <w:type w:val="bbPlcHdr"/>
        </w:types>
        <w:behaviors>
          <w:behavior w:val="content"/>
        </w:behaviors>
        <w:description w:val=""/>
        <w:guid w:val="{13d3a802-1e9c-46a1-86eb-bab1fff31437}"/>
      </w:docPartPr>
      <w:docPartBody>
        <w:p>
          <w:r>
            <w:rPr>
              <w:color w:val="808080"/>
            </w:rPr>
            <w:t>单击此处输入文字。</w:t>
          </w:r>
        </w:p>
      </w:docPartBody>
    </w:docPart>
    <w:docPart>
      <w:docPartPr>
        <w:name w:val="{25483133-ba85-49fd-91b7-fe03f7444083}"/>
        <w:style w:val=""/>
        <w:category>
          <w:name w:val="常规"/>
          <w:gallery w:val="placeholder"/>
        </w:category>
        <w:types>
          <w:type w:val="bbPlcHdr"/>
        </w:types>
        <w:behaviors>
          <w:behavior w:val="content"/>
        </w:behaviors>
        <w:description w:val=""/>
        <w:guid w:val="{25483133-ba85-49fd-91b7-fe03f7444083}"/>
      </w:docPartPr>
      <w:docPartBody>
        <w:p>
          <w:r>
            <w:rPr>
              <w:color w:val="808080"/>
            </w:rPr>
            <w:t>单击此处输入文字。</w:t>
          </w:r>
        </w:p>
      </w:docPartBody>
    </w:docPart>
    <w:docPart>
      <w:docPartPr>
        <w:name w:val="{615bc665-32f7-4d93-95b5-5ac19b3f6fcf}"/>
        <w:style w:val=""/>
        <w:category>
          <w:name w:val="常规"/>
          <w:gallery w:val="placeholder"/>
        </w:category>
        <w:types>
          <w:type w:val="bbPlcHdr"/>
        </w:types>
        <w:behaviors>
          <w:behavior w:val="content"/>
        </w:behaviors>
        <w:description w:val=""/>
        <w:guid w:val="{615bc665-32f7-4d93-95b5-5ac19b3f6fcf}"/>
      </w:docPartPr>
      <w:docPartBody>
        <w:p>
          <w:r>
            <w:rPr>
              <w:color w:val="808080"/>
            </w:rPr>
            <w:t>单击此处输入文字。</w:t>
          </w:r>
        </w:p>
      </w:docPartBody>
    </w:docPart>
    <w:docPart>
      <w:docPartPr>
        <w:name w:val="{a1153479-89df-4e10-b1c2-83a70e3fd2d3}"/>
        <w:style w:val=""/>
        <w:category>
          <w:name w:val="常规"/>
          <w:gallery w:val="placeholder"/>
        </w:category>
        <w:types>
          <w:type w:val="bbPlcHdr"/>
        </w:types>
        <w:behaviors>
          <w:behavior w:val="content"/>
        </w:behaviors>
        <w:description w:val=""/>
        <w:guid w:val="{a1153479-89df-4e10-b1c2-83a70e3fd2d3}"/>
      </w:docPartPr>
      <w:docPartBody>
        <w:p>
          <w:r>
            <w:rPr>
              <w:color w:val="808080"/>
            </w:rPr>
            <w:t>单击此处输入文字。</w:t>
          </w:r>
        </w:p>
      </w:docPartBody>
    </w:docPart>
    <w:docPart>
      <w:docPartPr>
        <w:name w:val="{1edb9603-9045-4ad8-93f4-c8111abb3aa7}"/>
        <w:style w:val=""/>
        <w:category>
          <w:name w:val="常规"/>
          <w:gallery w:val="placeholder"/>
        </w:category>
        <w:types>
          <w:type w:val="bbPlcHdr"/>
        </w:types>
        <w:behaviors>
          <w:behavior w:val="content"/>
        </w:behaviors>
        <w:description w:val=""/>
        <w:guid w:val="{1edb9603-9045-4ad8-93f4-c8111abb3aa7}"/>
      </w:docPartPr>
      <w:docPartBody>
        <w:p>
          <w:r>
            <w:rPr>
              <w:color w:val="808080"/>
            </w:rPr>
            <w:t>单击此处输入文字。</w:t>
          </w:r>
        </w:p>
      </w:docPartBody>
    </w:docPart>
    <w:docPart>
      <w:docPartPr>
        <w:name w:val="{7a569c03-8ef4-45a7-9fe2-e1fa1ea92c45}"/>
        <w:style w:val=""/>
        <w:category>
          <w:name w:val="常规"/>
          <w:gallery w:val="placeholder"/>
        </w:category>
        <w:types>
          <w:type w:val="bbPlcHdr"/>
        </w:types>
        <w:behaviors>
          <w:behavior w:val="content"/>
        </w:behaviors>
        <w:description w:val=""/>
        <w:guid w:val="{7a569c03-8ef4-45a7-9fe2-e1fa1ea92c45}"/>
      </w:docPartPr>
      <w:docPartBody>
        <w:p>
          <w:r>
            <w:rPr>
              <w:color w:val="808080"/>
            </w:rPr>
            <w:t>单击此处输入文字。</w:t>
          </w:r>
        </w:p>
      </w:docPartBody>
    </w:docPart>
    <w:docPart>
      <w:docPartPr>
        <w:name w:val="{a615db0e-3ae3-4d9b-b416-680e4e0ced16}"/>
        <w:style w:val=""/>
        <w:category>
          <w:name w:val="常规"/>
          <w:gallery w:val="placeholder"/>
        </w:category>
        <w:types>
          <w:type w:val="bbPlcHdr"/>
        </w:types>
        <w:behaviors>
          <w:behavior w:val="content"/>
        </w:behaviors>
        <w:description w:val=""/>
        <w:guid w:val="{a615db0e-3ae3-4d9b-b416-680e4e0ced16}"/>
      </w:docPartPr>
      <w:docPartBody>
        <w:p>
          <w:r>
            <w:rPr>
              <w:color w:val="808080"/>
            </w:rPr>
            <w:t>单击此处输入文字。</w:t>
          </w:r>
        </w:p>
      </w:docPartBody>
    </w:docPart>
    <w:docPart>
      <w:docPartPr>
        <w:name w:val="{2909c6a1-4fda-4afb-8a46-1514929edefb}"/>
        <w:style w:val=""/>
        <w:category>
          <w:name w:val="常规"/>
          <w:gallery w:val="placeholder"/>
        </w:category>
        <w:types>
          <w:type w:val="bbPlcHdr"/>
        </w:types>
        <w:behaviors>
          <w:behavior w:val="content"/>
        </w:behaviors>
        <w:description w:val=""/>
        <w:guid w:val="{2909c6a1-4fda-4afb-8a46-1514929edefb}"/>
      </w:docPartPr>
      <w:docPartBody>
        <w:p>
          <w:r>
            <w:rPr>
              <w:color w:val="808080"/>
            </w:rPr>
            <w:t>单击此处输入文字。</w:t>
          </w:r>
        </w:p>
      </w:docPartBody>
    </w:docPart>
    <w:docPart>
      <w:docPartPr>
        <w:name w:val="{52d32bbb-bc18-49b4-bf3b-c56634887c16}"/>
        <w:style w:val=""/>
        <w:category>
          <w:name w:val="常规"/>
          <w:gallery w:val="placeholder"/>
        </w:category>
        <w:types>
          <w:type w:val="bbPlcHdr"/>
        </w:types>
        <w:behaviors>
          <w:behavior w:val="content"/>
        </w:behaviors>
        <w:description w:val=""/>
        <w:guid w:val="{52d32bbb-bc18-49b4-bf3b-c56634887c16}"/>
      </w:docPartPr>
      <w:docPartBody>
        <w:p>
          <w:r>
            <w:rPr>
              <w:color w:val="808080"/>
            </w:rPr>
            <w:t>单击此处输入文字。</w:t>
          </w:r>
        </w:p>
      </w:docPartBody>
    </w:docPart>
    <w:docPart>
      <w:docPartPr>
        <w:name w:val="{dda6d7b1-e22a-4f44-bbf0-fc3a886f33ad}"/>
        <w:style w:val=""/>
        <w:category>
          <w:name w:val="常规"/>
          <w:gallery w:val="placeholder"/>
        </w:category>
        <w:types>
          <w:type w:val="bbPlcHdr"/>
        </w:types>
        <w:behaviors>
          <w:behavior w:val="content"/>
        </w:behaviors>
        <w:description w:val=""/>
        <w:guid w:val="{dda6d7b1-e22a-4f44-bbf0-fc3a886f33ad}"/>
      </w:docPartPr>
      <w:docPartBody>
        <w:p>
          <w:r>
            <w:rPr>
              <w:color w:val="808080"/>
            </w:rPr>
            <w:t>单击此处输入文字。</w:t>
          </w:r>
        </w:p>
      </w:docPartBody>
    </w:docPart>
    <w:docPart>
      <w:docPartPr>
        <w:name w:val="{dac14e5e-59db-4e63-8d14-db286d0101a3}"/>
        <w:style w:val=""/>
        <w:category>
          <w:name w:val="常规"/>
          <w:gallery w:val="placeholder"/>
        </w:category>
        <w:types>
          <w:type w:val="bbPlcHdr"/>
        </w:types>
        <w:behaviors>
          <w:behavior w:val="content"/>
        </w:behaviors>
        <w:description w:val=""/>
        <w:guid w:val="{dac14e5e-59db-4e63-8d14-db286d0101a3}"/>
      </w:docPartPr>
      <w:docPartBody>
        <w:p>
          <w:r>
            <w:rPr>
              <w:color w:val="808080"/>
            </w:rPr>
            <w:t>单击此处输入文字。</w:t>
          </w:r>
        </w:p>
      </w:docPartBody>
    </w:docPart>
    <w:docPart>
      <w:docPartPr>
        <w:name w:val="{78452926-26f5-4c5b-8a4d-e960431ba254}"/>
        <w:style w:val=""/>
        <w:category>
          <w:name w:val="常规"/>
          <w:gallery w:val="placeholder"/>
        </w:category>
        <w:types>
          <w:type w:val="bbPlcHdr"/>
        </w:types>
        <w:behaviors>
          <w:behavior w:val="content"/>
        </w:behaviors>
        <w:description w:val=""/>
        <w:guid w:val="{78452926-26f5-4c5b-8a4d-e960431ba254}"/>
      </w:docPartPr>
      <w:docPartBody>
        <w:p>
          <w:r>
            <w:rPr>
              <w:color w:val="808080"/>
            </w:rPr>
            <w:t>单击此处输入文字。</w:t>
          </w:r>
        </w:p>
      </w:docPartBody>
    </w:docPart>
    <w:docPart>
      <w:docPartPr>
        <w:name w:val="{d015e7a8-e7f5-4970-a673-8264e002b6d5}"/>
        <w:style w:val=""/>
        <w:category>
          <w:name w:val="常规"/>
          <w:gallery w:val="placeholder"/>
        </w:category>
        <w:types>
          <w:type w:val="bbPlcHdr"/>
        </w:types>
        <w:behaviors>
          <w:behavior w:val="content"/>
        </w:behaviors>
        <w:description w:val=""/>
        <w:guid w:val="{d015e7a8-e7f5-4970-a673-8264e002b6d5}"/>
      </w:docPartPr>
      <w:docPartBody>
        <w:p>
          <w:r>
            <w:rPr>
              <w:color w:val="808080"/>
            </w:rPr>
            <w:t>单击此处输入文字。</w:t>
          </w:r>
        </w:p>
      </w:docPartBody>
    </w:docPart>
    <w:docPart>
      <w:docPartPr>
        <w:name w:val="{c29b4f25-cee3-47a2-9fa7-fd752cf61b4f}"/>
        <w:style w:val=""/>
        <w:category>
          <w:name w:val="常规"/>
          <w:gallery w:val="placeholder"/>
        </w:category>
        <w:types>
          <w:type w:val="bbPlcHdr"/>
        </w:types>
        <w:behaviors>
          <w:behavior w:val="content"/>
        </w:behaviors>
        <w:description w:val=""/>
        <w:guid w:val="{c29b4f25-cee3-47a2-9fa7-fd752cf61b4f}"/>
      </w:docPartPr>
      <w:docPartBody>
        <w:p>
          <w:r>
            <w:rPr>
              <w:color w:val="808080"/>
            </w:rPr>
            <w:t>单击此处输入文字。</w:t>
          </w:r>
        </w:p>
      </w:docPartBody>
    </w:docPart>
    <w:docPart>
      <w:docPartPr>
        <w:name w:val="{26cefaf7-26a4-419d-97b5-ad6e3abc7065}"/>
        <w:style w:val=""/>
        <w:category>
          <w:name w:val="常规"/>
          <w:gallery w:val="placeholder"/>
        </w:category>
        <w:types>
          <w:type w:val="bbPlcHdr"/>
        </w:types>
        <w:behaviors>
          <w:behavior w:val="content"/>
        </w:behaviors>
        <w:description w:val=""/>
        <w:guid w:val="{26cefaf7-26a4-419d-97b5-ad6e3abc7065}"/>
      </w:docPartPr>
      <w:docPartBody>
        <w:p>
          <w:r>
            <w:rPr>
              <w:color w:val="808080"/>
            </w:rPr>
            <w:t>单击此处输入文字。</w:t>
          </w:r>
        </w:p>
      </w:docPartBody>
    </w:docPart>
    <w:docPart>
      <w:docPartPr>
        <w:name w:val="{881da6c4-54e3-4eb7-a526-ffffdd299abf}"/>
        <w:style w:val=""/>
        <w:category>
          <w:name w:val="常规"/>
          <w:gallery w:val="placeholder"/>
        </w:category>
        <w:types>
          <w:type w:val="bbPlcHdr"/>
        </w:types>
        <w:behaviors>
          <w:behavior w:val="content"/>
        </w:behaviors>
        <w:description w:val=""/>
        <w:guid w:val="{881da6c4-54e3-4eb7-a526-ffffdd299abf}"/>
      </w:docPartPr>
      <w:docPartBody>
        <w:p>
          <w:r>
            <w:rPr>
              <w:color w:val="808080"/>
            </w:rPr>
            <w:t>单击此处输入文字。</w:t>
          </w:r>
        </w:p>
      </w:docPartBody>
    </w:docPart>
    <w:docPart>
      <w:docPartPr>
        <w:name w:val="{8d0e6431-b27f-4e9c-be84-e18e27a4c807}"/>
        <w:style w:val=""/>
        <w:category>
          <w:name w:val="常规"/>
          <w:gallery w:val="placeholder"/>
        </w:category>
        <w:types>
          <w:type w:val="bbPlcHdr"/>
        </w:types>
        <w:behaviors>
          <w:behavior w:val="content"/>
        </w:behaviors>
        <w:description w:val=""/>
        <w:guid w:val="{8d0e6431-b27f-4e9c-be84-e18e27a4c807}"/>
      </w:docPartPr>
      <w:docPartBody>
        <w:p>
          <w:r>
            <w:rPr>
              <w:color w:val="808080"/>
            </w:rPr>
            <w:t>单击此处输入文字。</w:t>
          </w:r>
        </w:p>
      </w:docPartBody>
    </w:docPart>
    <w:docPart>
      <w:docPartPr>
        <w:name w:val="{4c4f4b6a-6ab3-4a5c-a210-93cce3d1d82f}"/>
        <w:style w:val=""/>
        <w:category>
          <w:name w:val="常规"/>
          <w:gallery w:val="placeholder"/>
        </w:category>
        <w:types>
          <w:type w:val="bbPlcHdr"/>
        </w:types>
        <w:behaviors>
          <w:behavior w:val="content"/>
        </w:behaviors>
        <w:description w:val=""/>
        <w:guid w:val="{4c4f4b6a-6ab3-4a5c-a210-93cce3d1d82f}"/>
      </w:docPartPr>
      <w:docPartBody>
        <w:p>
          <w:r>
            <w:rPr>
              <w:color w:val="808080"/>
            </w:rPr>
            <w:t>单击此处输入文字。</w:t>
          </w:r>
        </w:p>
      </w:docPartBody>
    </w:docPart>
    <w:docPart>
      <w:docPartPr>
        <w:name w:val="{d756dd90-2ff3-4ec1-928e-f8b66db4b3d7}"/>
        <w:style w:val=""/>
        <w:category>
          <w:name w:val="常规"/>
          <w:gallery w:val="placeholder"/>
        </w:category>
        <w:types>
          <w:type w:val="bbPlcHdr"/>
        </w:types>
        <w:behaviors>
          <w:behavior w:val="content"/>
        </w:behaviors>
        <w:description w:val=""/>
        <w:guid w:val="{d756dd90-2ff3-4ec1-928e-f8b66db4b3d7}"/>
      </w:docPartPr>
      <w:docPartBody>
        <w:p>
          <w:r>
            <w:rPr>
              <w:color w:val="808080"/>
            </w:rPr>
            <w:t>单击此处输入文字。</w:t>
          </w:r>
        </w:p>
      </w:docPartBody>
    </w:docPart>
    <w:docPart>
      <w:docPartPr>
        <w:name w:val="{85150e97-cac6-4f3f-a4d3-c5aefe95f1eb}"/>
        <w:style w:val=""/>
        <w:category>
          <w:name w:val="常规"/>
          <w:gallery w:val="placeholder"/>
        </w:category>
        <w:types>
          <w:type w:val="bbPlcHdr"/>
        </w:types>
        <w:behaviors>
          <w:behavior w:val="content"/>
        </w:behaviors>
        <w:description w:val=""/>
        <w:guid w:val="{85150e97-cac6-4f3f-a4d3-c5aefe95f1eb}"/>
      </w:docPartPr>
      <w:docPartBody>
        <w:p>
          <w:r>
            <w:rPr>
              <w:color w:val="808080"/>
            </w:rPr>
            <w:t>单击此处输入文字。</w:t>
          </w:r>
        </w:p>
      </w:docPartBody>
    </w:docPart>
    <w:docPart>
      <w:docPartPr>
        <w:name w:val="{f167de37-9be7-473b-9091-f053e2d845d7}"/>
        <w:style w:val=""/>
        <w:category>
          <w:name w:val="常规"/>
          <w:gallery w:val="placeholder"/>
        </w:category>
        <w:types>
          <w:type w:val="bbPlcHdr"/>
        </w:types>
        <w:behaviors>
          <w:behavior w:val="content"/>
        </w:behaviors>
        <w:description w:val=""/>
        <w:guid w:val="{f167de37-9be7-473b-9091-f053e2d845d7}"/>
      </w:docPartPr>
      <w:docPartBody>
        <w:p>
          <w:r>
            <w:rPr>
              <w:color w:val="808080"/>
            </w:rPr>
            <w:t>单击此处输入文字。</w:t>
          </w:r>
        </w:p>
      </w:docPartBody>
    </w:docPart>
    <w:docPart>
      <w:docPartPr>
        <w:name w:val="{b150b532-4557-4c46-9c65-02adedcdd2b9}"/>
        <w:style w:val=""/>
        <w:category>
          <w:name w:val="常规"/>
          <w:gallery w:val="placeholder"/>
        </w:category>
        <w:types>
          <w:type w:val="bbPlcHdr"/>
        </w:types>
        <w:behaviors>
          <w:behavior w:val="content"/>
        </w:behaviors>
        <w:description w:val=""/>
        <w:guid w:val="{b150b532-4557-4c46-9c65-02adedcdd2b9}"/>
      </w:docPartPr>
      <w:docPartBody>
        <w:p>
          <w:r>
            <w:rPr>
              <w:color w:val="808080"/>
            </w:rPr>
            <w:t>单击此处输入文字。</w:t>
          </w:r>
        </w:p>
      </w:docPartBody>
    </w:docPart>
    <w:docPart>
      <w:docPartPr>
        <w:name w:val="{0541f35b-9a49-4f98-b435-0b713efa3e56}"/>
        <w:style w:val=""/>
        <w:category>
          <w:name w:val="常规"/>
          <w:gallery w:val="placeholder"/>
        </w:category>
        <w:types>
          <w:type w:val="bbPlcHdr"/>
        </w:types>
        <w:behaviors>
          <w:behavior w:val="content"/>
        </w:behaviors>
        <w:description w:val=""/>
        <w:guid w:val="{0541f35b-9a49-4f98-b435-0b713efa3e56}"/>
      </w:docPartPr>
      <w:docPartBody>
        <w:p>
          <w:r>
            <w:rPr>
              <w:color w:val="808080"/>
            </w:rPr>
            <w:t>单击此处输入文字。</w:t>
          </w:r>
        </w:p>
      </w:docPartBody>
    </w:docPart>
    <w:docPart>
      <w:docPartPr>
        <w:name w:val="{94d2a8d4-3cc8-4c66-a269-018f6b1b5c9b}"/>
        <w:style w:val=""/>
        <w:category>
          <w:name w:val="常规"/>
          <w:gallery w:val="placeholder"/>
        </w:category>
        <w:types>
          <w:type w:val="bbPlcHdr"/>
        </w:types>
        <w:behaviors>
          <w:behavior w:val="content"/>
        </w:behaviors>
        <w:description w:val=""/>
        <w:guid w:val="{94d2a8d4-3cc8-4c66-a269-018f6b1b5c9b}"/>
      </w:docPartPr>
      <w:docPartBody>
        <w:p>
          <w:r>
            <w:rPr>
              <w:color w:val="808080"/>
            </w:rPr>
            <w:t>单击此处输入文字。</w:t>
          </w:r>
        </w:p>
      </w:docPartBody>
    </w:docPart>
    <w:docPart>
      <w:docPartPr>
        <w:name w:val="{7bf5659b-9c24-4f5b-8f45-f5c9419dccda}"/>
        <w:style w:val=""/>
        <w:category>
          <w:name w:val="常规"/>
          <w:gallery w:val="placeholder"/>
        </w:category>
        <w:types>
          <w:type w:val="bbPlcHdr"/>
        </w:types>
        <w:behaviors>
          <w:behavior w:val="content"/>
        </w:behaviors>
        <w:description w:val=""/>
        <w:guid w:val="{7bf5659b-9c24-4f5b-8f45-f5c9419dccda}"/>
      </w:docPartPr>
      <w:docPartBody>
        <w:p>
          <w:r>
            <w:rPr>
              <w:color w:val="808080"/>
            </w:rPr>
            <w:t>单击此处输入文字。</w:t>
          </w:r>
        </w:p>
      </w:docPartBody>
    </w:docPart>
    <w:docPart>
      <w:docPartPr>
        <w:name w:val="{ccc53b82-1174-4711-8f2d-4ba62876b272}"/>
        <w:style w:val=""/>
        <w:category>
          <w:name w:val="常规"/>
          <w:gallery w:val="placeholder"/>
        </w:category>
        <w:types>
          <w:type w:val="bbPlcHdr"/>
        </w:types>
        <w:behaviors>
          <w:behavior w:val="content"/>
        </w:behaviors>
        <w:description w:val=""/>
        <w:guid w:val="{ccc53b82-1174-4711-8f2d-4ba62876b272}"/>
      </w:docPartPr>
      <w:docPartBody>
        <w:p>
          <w:r>
            <w:rPr>
              <w:color w:val="808080"/>
            </w:rPr>
            <w:t>单击此处输入文字。</w:t>
          </w:r>
        </w:p>
      </w:docPartBody>
    </w:docPart>
    <w:docPart>
      <w:docPartPr>
        <w:name w:val="{7e88d4de-db40-495d-a841-b15e652e8ec0}"/>
        <w:style w:val=""/>
        <w:category>
          <w:name w:val="常规"/>
          <w:gallery w:val="placeholder"/>
        </w:category>
        <w:types>
          <w:type w:val="bbPlcHdr"/>
        </w:types>
        <w:behaviors>
          <w:behavior w:val="content"/>
        </w:behaviors>
        <w:description w:val=""/>
        <w:guid w:val="{7e88d4de-db40-495d-a841-b15e652e8ec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58</TotalTime>
  <ScaleCrop>false</ScaleCrop>
  <LinksUpToDate>false</LinksUpToDate>
  <CharactersWithSpaces>8692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2024-09-18T08:45:10Z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2D5FBCA02E7744ACBE48F47D257A5322</vt:lpwstr>
  </property>
</Properties>
</file>